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55A9" w14:textId="07476885" w:rsidR="00FB1AB2" w:rsidRDefault="00FB1AB2" w:rsidP="00FB1AB2">
      <w:pPr>
        <w:pStyle w:val="Title"/>
      </w:pPr>
      <w:r w:rsidRPr="00FB1AB2">
        <w:t>Module 1.1: Is This Your Calling?</w:t>
      </w:r>
    </w:p>
    <w:p w14:paraId="6BF2D840" w14:textId="7145F102" w:rsidR="00FB1AB2" w:rsidRPr="00FE3457" w:rsidRDefault="00FB1AB2" w:rsidP="00FB1AB2">
      <w:pPr>
        <w:pStyle w:val="Heading1"/>
      </w:pPr>
      <w:r w:rsidRPr="00FE3457">
        <w:t>Challenges and Facilitators for Pregnant/Postpartum P</w:t>
      </w:r>
      <w:r>
        <w:t>articipants</w:t>
      </w:r>
      <w:r w:rsidRPr="00FE3457">
        <w:t xml:space="preserve"> Who Use Substances or Have a History of Substance Use</w:t>
      </w:r>
    </w:p>
    <w:p w14:paraId="6AF2494C" w14:textId="77777777" w:rsidR="00FB1AB2" w:rsidRDefault="00FB1AB2" w:rsidP="00370DE5"/>
    <w:p w14:paraId="484972A2" w14:textId="5E292160" w:rsidR="00370DE5" w:rsidRDefault="00370DE5" w:rsidP="00370DE5">
      <w:r>
        <w:t>Anyone who is pregnant may face challenges. Pregnancy can bring about dramatic physical changes that can be uncomfortable, unwelcome, or limiting (e.g., hormonal changes, fatigue, weight gain, bed rest restrictions). Pregnancy can also prompt a wide range of feelings that can include ambivalence towards pregnancy, or fear about the health and well-being of oneself or the baby. When someone is using drugs or has a history of substance use, the challenges can become more daunting.</w:t>
      </w:r>
      <w:r w:rsidR="00FE3457">
        <w:t xml:space="preserve"> But i</w:t>
      </w:r>
      <w:r>
        <w:t>mportantly, with the right tools and supports in place, pregnancy is also an opportunity to have a beautiful experience.</w:t>
      </w:r>
      <w:r w:rsidDel="00D31CD1">
        <w:t xml:space="preserve"> </w:t>
      </w:r>
    </w:p>
    <w:p w14:paraId="26AC5F1F" w14:textId="2EE5FD80" w:rsidR="00943CF8" w:rsidRPr="009C2684" w:rsidRDefault="00370DE5" w:rsidP="00FE3457">
      <w:pPr>
        <w:spacing w:before="120"/>
      </w:pPr>
      <w:r>
        <w:t>Let’s take a minute to think through some factors related to recovery during pregnancy. Depending on someone’s situation, these factors may be either a challenge or a facilitator to recovery. For instance, concerns about child welfare involvement may motivate some people’s recovery efforts. For others, this threat may lead them to avoid seeking recovery services to “stay under the radar.”</w:t>
      </w:r>
      <w:r w:rsidR="00FE3457">
        <w:t xml:space="preserve"> Each of the factors in the following table </w:t>
      </w:r>
      <w:proofErr w:type="gramStart"/>
      <w:r w:rsidR="00943CF8">
        <w:t>highlight</w:t>
      </w:r>
      <w:proofErr w:type="gramEnd"/>
      <w:r w:rsidR="00943CF8">
        <w:t xml:space="preserve"> opportunities for peer support. </w:t>
      </w:r>
    </w:p>
    <w:p w14:paraId="3DC9E6FA" w14:textId="77777777" w:rsidR="00943CF8" w:rsidRDefault="00943CF8" w:rsidP="00943CF8">
      <w:pPr>
        <w:pBdr>
          <w:top w:val="nil"/>
          <w:left w:val="nil"/>
          <w:bottom w:val="nil"/>
          <w:right w:val="nil"/>
          <w:between w:val="nil"/>
        </w:pBdr>
        <w:spacing w:before="120" w:after="0"/>
        <w:rPr>
          <w:color w:val="000000"/>
        </w:rPr>
      </w:pPr>
    </w:p>
    <w:tbl>
      <w:tblPr>
        <w:tblStyle w:val="26"/>
        <w:tblW w:w="9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2169"/>
        <w:gridCol w:w="3600"/>
      </w:tblGrid>
      <w:tr w:rsidR="00370DE5" w14:paraId="75C12FC1" w14:textId="77777777" w:rsidTr="008A043E">
        <w:tc>
          <w:tcPr>
            <w:tcW w:w="3600" w:type="dxa"/>
            <w:vAlign w:val="center"/>
          </w:tcPr>
          <w:p w14:paraId="72B4E242" w14:textId="77777777" w:rsidR="00370DE5" w:rsidRDefault="00370DE5" w:rsidP="008A043E">
            <w:pPr>
              <w:spacing w:line="259" w:lineRule="auto"/>
              <w:jc w:val="center"/>
              <w:rPr>
                <w:b/>
                <w:sz w:val="20"/>
                <w:szCs w:val="20"/>
              </w:rPr>
            </w:pPr>
            <w:r>
              <w:rPr>
                <w:b/>
                <w:color w:val="EE0000"/>
                <w:sz w:val="20"/>
                <w:szCs w:val="20"/>
              </w:rPr>
              <w:t>Challenges</w:t>
            </w:r>
          </w:p>
        </w:tc>
        <w:tc>
          <w:tcPr>
            <w:tcW w:w="2169" w:type="dxa"/>
            <w:vAlign w:val="center"/>
          </w:tcPr>
          <w:p w14:paraId="2058FDA8" w14:textId="77777777" w:rsidR="00370DE5" w:rsidRDefault="00370DE5" w:rsidP="008A043E">
            <w:pPr>
              <w:spacing w:line="259" w:lineRule="auto"/>
              <w:jc w:val="center"/>
              <w:rPr>
                <w:b/>
                <w:sz w:val="20"/>
                <w:szCs w:val="20"/>
              </w:rPr>
            </w:pPr>
            <w:r>
              <w:rPr>
                <w:b/>
                <w:sz w:val="20"/>
                <w:szCs w:val="20"/>
              </w:rPr>
              <w:t>Factors Influencing Recovery During Pregnancy</w:t>
            </w:r>
          </w:p>
        </w:tc>
        <w:tc>
          <w:tcPr>
            <w:tcW w:w="3600" w:type="dxa"/>
            <w:vAlign w:val="center"/>
          </w:tcPr>
          <w:p w14:paraId="1107DD4B" w14:textId="77777777" w:rsidR="00370DE5" w:rsidRDefault="00370DE5" w:rsidP="008A043E">
            <w:pPr>
              <w:spacing w:line="259" w:lineRule="auto"/>
              <w:jc w:val="center"/>
              <w:rPr>
                <w:b/>
                <w:sz w:val="20"/>
                <w:szCs w:val="20"/>
              </w:rPr>
            </w:pPr>
            <w:r>
              <w:rPr>
                <w:b/>
                <w:color w:val="196B24"/>
                <w:sz w:val="20"/>
                <w:szCs w:val="20"/>
              </w:rPr>
              <w:t>Facilitators</w:t>
            </w:r>
          </w:p>
        </w:tc>
      </w:tr>
      <w:tr w:rsidR="00370DE5" w14:paraId="628BCEEB" w14:textId="77777777" w:rsidTr="008A043E">
        <w:tc>
          <w:tcPr>
            <w:tcW w:w="3600" w:type="dxa"/>
          </w:tcPr>
          <w:p w14:paraId="0F51F115" w14:textId="1486F517" w:rsidR="00370DE5" w:rsidRDefault="00370DE5" w:rsidP="008A043E">
            <w:pPr>
              <w:spacing w:after="120"/>
              <w:rPr>
                <w:sz w:val="20"/>
                <w:szCs w:val="20"/>
              </w:rPr>
            </w:pPr>
            <w:r>
              <w:rPr>
                <w:b/>
                <w:sz w:val="20"/>
                <w:szCs w:val="20"/>
              </w:rPr>
              <w:t>Disparities</w:t>
            </w:r>
            <w:r>
              <w:rPr>
                <w:b/>
                <w:sz w:val="20"/>
                <w:szCs w:val="20"/>
              </w:rPr>
              <w:br/>
            </w:r>
            <w:r>
              <w:rPr>
                <w:sz w:val="20"/>
                <w:szCs w:val="20"/>
              </w:rPr>
              <w:t>Poverty, homelessness, and food insecurity contribute to substance use as a coping strategy, making cessation more difficult.</w:t>
            </w:r>
            <w:r>
              <w:rPr>
                <w:sz w:val="20"/>
                <w:szCs w:val="20"/>
              </w:rPr>
              <w:fldChar w:fldCharType="begin"/>
            </w:r>
            <w:r>
              <w:rPr>
                <w:sz w:val="20"/>
                <w:szCs w:val="20"/>
              </w:rPr>
              <w:instrText xml:space="preserve"> ADDIN EN.CITE &lt;EndNote&gt;&lt;Cite&gt;&lt;Author&gt;Prince MK&lt;/Author&gt;&lt;Year&gt;2023&lt;/Year&gt;&lt;RecNum&gt;369&lt;/RecNum&gt;&lt;DisplayText&gt;&lt;style face="superscript"&gt;1&lt;/style&gt;&lt;/DisplayText&gt;&lt;record&gt;&lt;rec-number&gt;369&lt;/rec-number&gt;&lt;foreign-keys&gt;&lt;key app="EN" db-id="2rdfwv2wpaerz8e2v93xvwrjpfzad0vxxve5" timestamp="1755266615"&gt;369&lt;/key&gt;&lt;/foreign-keys&gt;&lt;ref-type name="Web Page"&gt;12&lt;/ref-type&gt;&lt;contributors&gt;&lt;authors&gt;&lt;author&gt;Prince MK,&lt;/author&gt;&lt;author&gt;Daley SF,&lt;/author&gt;&lt;author&gt;Ayers D,&lt;/author&gt;&lt;/authors&gt;&lt;/contributors&gt;&lt;titles&gt;&lt;title&gt;Substance use in pregnancy&lt;/title&gt;&lt;/titles&gt;&lt;volume&gt;2025&lt;/volume&gt;&lt;number&gt;Aug 15&lt;/number&gt;&lt;dates&gt;&lt;year&gt;2023&lt;/year&gt;&lt;/dates&gt;&lt;publisher&gt;StatPearls Publishing&lt;/publisher&gt;&lt;urls&gt;&lt;related-urls&gt;&lt;url&gt;https://www.ncbi.nlm.nih.gov/books/NBK542330/&lt;/url&gt;&lt;/related-urls&gt;&lt;/urls&gt;&lt;/record&gt;&lt;/Cite&gt;&lt;/EndNote&gt;</w:instrText>
            </w:r>
            <w:r>
              <w:rPr>
                <w:sz w:val="20"/>
                <w:szCs w:val="20"/>
              </w:rPr>
              <w:fldChar w:fldCharType="separate"/>
            </w:r>
            <w:r w:rsidRPr="00DA03AD">
              <w:rPr>
                <w:noProof/>
                <w:sz w:val="20"/>
                <w:szCs w:val="20"/>
                <w:vertAlign w:val="superscript"/>
              </w:rPr>
              <w:t>1</w:t>
            </w:r>
            <w:r>
              <w:rPr>
                <w:sz w:val="20"/>
                <w:szCs w:val="20"/>
              </w:rPr>
              <w:fldChar w:fldCharType="end"/>
            </w:r>
          </w:p>
        </w:tc>
        <w:tc>
          <w:tcPr>
            <w:tcW w:w="2169" w:type="dxa"/>
            <w:vAlign w:val="center"/>
          </w:tcPr>
          <w:p w14:paraId="559A70BE" w14:textId="77777777" w:rsidR="00370DE5" w:rsidRDefault="00370DE5" w:rsidP="008A043E">
            <w:pPr>
              <w:spacing w:line="259" w:lineRule="auto"/>
              <w:jc w:val="center"/>
              <w:rPr>
                <w:b/>
                <w:sz w:val="20"/>
                <w:szCs w:val="20"/>
              </w:rPr>
            </w:pPr>
            <w:r>
              <w:rPr>
                <w:b/>
                <w:sz w:val="20"/>
                <w:szCs w:val="20"/>
              </w:rPr>
              <w:t>Socioeconomic Considerations</w:t>
            </w:r>
          </w:p>
        </w:tc>
        <w:tc>
          <w:tcPr>
            <w:tcW w:w="3600" w:type="dxa"/>
          </w:tcPr>
          <w:p w14:paraId="20E4191E" w14:textId="6AA7C9BF" w:rsidR="00370DE5" w:rsidRDefault="00370DE5" w:rsidP="008A043E">
            <w:pPr>
              <w:rPr>
                <w:b/>
                <w:sz w:val="20"/>
                <w:szCs w:val="20"/>
              </w:rPr>
            </w:pPr>
            <w:r>
              <w:rPr>
                <w:b/>
                <w:sz w:val="20"/>
                <w:szCs w:val="20"/>
              </w:rPr>
              <w:t>Resources</w:t>
            </w:r>
          </w:p>
          <w:p w14:paraId="69A4638C" w14:textId="77777777" w:rsidR="00370DE5" w:rsidRDefault="00370DE5" w:rsidP="008A043E">
            <w:pPr>
              <w:spacing w:line="259" w:lineRule="auto"/>
              <w:rPr>
                <w:sz w:val="20"/>
                <w:szCs w:val="20"/>
              </w:rPr>
            </w:pPr>
            <w:r>
              <w:rPr>
                <w:sz w:val="20"/>
                <w:szCs w:val="20"/>
              </w:rPr>
              <w:t>Stable housing, financial support, or other programs can make it easier to focus on improving health and wellness</w:t>
            </w:r>
          </w:p>
        </w:tc>
      </w:tr>
      <w:tr w:rsidR="00370DE5" w14:paraId="52363AB2" w14:textId="77777777" w:rsidTr="008A043E">
        <w:tc>
          <w:tcPr>
            <w:tcW w:w="3600" w:type="dxa"/>
          </w:tcPr>
          <w:p w14:paraId="288DFE24" w14:textId="61990876" w:rsidR="00370DE5" w:rsidRDefault="00370DE5" w:rsidP="008A043E">
            <w:pPr>
              <w:spacing w:after="120"/>
              <w:rPr>
                <w:sz w:val="20"/>
                <w:szCs w:val="20"/>
              </w:rPr>
            </w:pPr>
            <w:r>
              <w:rPr>
                <w:b/>
                <w:sz w:val="20"/>
                <w:szCs w:val="20"/>
              </w:rPr>
              <w:t>Intimate Partner Violence (IPV)</w:t>
            </w:r>
            <w:r>
              <w:rPr>
                <w:b/>
                <w:sz w:val="20"/>
                <w:szCs w:val="20"/>
              </w:rPr>
              <w:br/>
            </w:r>
            <w:r>
              <w:rPr>
                <w:sz w:val="20"/>
                <w:szCs w:val="20"/>
              </w:rPr>
              <w:t>IPV increases the risk of continued substance use during pregnancy, often due to stress, coercion, or limited means to leave an abusive situation.</w:t>
            </w:r>
            <w:r>
              <w:rPr>
                <w:sz w:val="20"/>
                <w:szCs w:val="20"/>
              </w:rPr>
              <w:fldChar w:fldCharType="begin">
                <w:fldData xml:space="preserve">PEVuZE5vdGU+PENpdGU+PEF1dGhvcj5BbGh1c2VuPC9BdXRob3I+PFllYXI+MjAxNTwvWWVhcj48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</w:fldData>
              </w:fldChar>
            </w:r>
            <w:r>
              <w:rPr>
                <w:sz w:val="20"/>
                <w:szCs w:val="20"/>
              </w:rPr>
              <w:instrText xml:space="preserve"> ADDIN EN.CITE </w:instrText>
            </w:r>
            <w:r>
              <w:rPr>
                <w:sz w:val="20"/>
                <w:szCs w:val="20"/>
              </w:rPr>
              <w:fldChar w:fldCharType="begin">
                <w:fldData xml:space="preserve">PEVuZE5vdGU+PENpdGU+PEF1dGhvcj5BbGh1c2VuPC9BdXRob3I+PFllYXI+MjAxNTwvWWVhcj48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sidRPr="00DA03AD">
              <w:rPr>
                <w:noProof/>
                <w:sz w:val="20"/>
                <w:szCs w:val="20"/>
                <w:vertAlign w:val="superscript"/>
              </w:rPr>
              <w:t>2,3</w:t>
            </w:r>
            <w:r>
              <w:rPr>
                <w:sz w:val="20"/>
                <w:szCs w:val="20"/>
              </w:rPr>
              <w:fldChar w:fldCharType="end"/>
            </w:r>
          </w:p>
        </w:tc>
        <w:tc>
          <w:tcPr>
            <w:tcW w:w="2169" w:type="dxa"/>
            <w:vMerge w:val="restart"/>
            <w:vAlign w:val="center"/>
          </w:tcPr>
          <w:p w14:paraId="6A5B6CB7" w14:textId="77777777" w:rsidR="00370DE5" w:rsidRDefault="00370DE5" w:rsidP="008A043E">
            <w:pPr>
              <w:spacing w:line="259" w:lineRule="auto"/>
              <w:jc w:val="center"/>
              <w:rPr>
                <w:b/>
                <w:sz w:val="20"/>
                <w:szCs w:val="20"/>
              </w:rPr>
            </w:pPr>
            <w:r>
              <w:rPr>
                <w:b/>
                <w:sz w:val="20"/>
                <w:szCs w:val="20"/>
              </w:rPr>
              <w:t>Relational and Social Support Factors</w:t>
            </w:r>
          </w:p>
        </w:tc>
        <w:tc>
          <w:tcPr>
            <w:tcW w:w="3600" w:type="dxa"/>
          </w:tcPr>
          <w:p w14:paraId="506686D1" w14:textId="4B52589B" w:rsidR="00370DE5" w:rsidRDefault="00370DE5" w:rsidP="008A043E">
            <w:pPr>
              <w:rPr>
                <w:sz w:val="20"/>
                <w:szCs w:val="20"/>
              </w:rPr>
            </w:pPr>
            <w:r>
              <w:rPr>
                <w:b/>
                <w:sz w:val="20"/>
                <w:szCs w:val="20"/>
              </w:rPr>
              <w:t>Concern for Their Baby</w:t>
            </w:r>
          </w:p>
          <w:p w14:paraId="084ECDB4" w14:textId="77777777" w:rsidR="00370DE5" w:rsidRDefault="00370DE5" w:rsidP="008A043E">
            <w:pPr>
              <w:spacing w:line="259" w:lineRule="auto"/>
              <w:rPr>
                <w:sz w:val="20"/>
                <w:szCs w:val="20"/>
              </w:rPr>
            </w:pPr>
            <w:r>
              <w:rPr>
                <w:sz w:val="20"/>
                <w:szCs w:val="20"/>
              </w:rPr>
              <w:t>Some women stop using substances to protect their baby. Learning about the risks of prenatal substance exposure can be a motivator.</w:t>
            </w:r>
            <w:r>
              <w:rPr>
                <w:sz w:val="20"/>
                <w:szCs w:val="20"/>
              </w:rPr>
              <w:fldChar w:fldCharType="begin"/>
            </w:r>
            <w:r>
              <w:rPr>
                <w:sz w:val="20"/>
                <w:szCs w:val="20"/>
              </w:rPr>
              <w:instrText xml:space="preserve"> ADDIN EN.CITE &lt;EndNote&gt;&lt;Cite&gt;&lt;Author&gt;National Institute on Drug Abuse (NIDA)&lt;/Author&gt;&lt;Year&gt;2020&lt;/Year&gt;&lt;RecNum&gt;147&lt;/RecNum&gt;&lt;DisplayText&gt;&lt;style face="superscript"&gt;4&lt;/style&gt;&lt;/DisplayText&gt;&lt;record&gt;&lt;rec-number&gt;147&lt;/rec-number&gt;&lt;foreign-keys&gt;&lt;key app="EN" db-id="2rdfwv2wpaerz8e2v93xvwrjpfzad0vxxve5" timestamp="1732645263"&gt;147&lt;/key&gt;&lt;/foreign-keys&gt;&lt;ref-type name="Web Page"&gt;12&lt;/ref-type&gt;&lt;contributors&gt;&lt;authors&gt;&lt;author&gt;National Institute on Drug Abuse (NIDA),&lt;/author&gt;&lt;/authors&gt;&lt;/contributors&gt;&lt;titles&gt;&lt;title&gt;Substance use in women research report&lt;/title&gt;&lt;/titles&gt;&lt;volume&gt;2024&lt;/volume&gt;&lt;number&gt;Nov 26&lt;/number&gt;&lt;dates&gt;&lt;year&gt;2020&lt;/year&gt;&lt;/dates&gt;&lt;urls&gt;&lt;related-urls&gt;&lt;url&gt;https://nida.nih.gov/publications/drugfacts/substance-use-in-women&lt;/url&gt;&lt;/related-urls&gt;&lt;/urls&gt;&lt;/record&gt;&lt;/Cite&gt;&lt;/EndNote&gt;</w:instrText>
            </w:r>
            <w:r>
              <w:rPr>
                <w:sz w:val="20"/>
                <w:szCs w:val="20"/>
              </w:rPr>
              <w:fldChar w:fldCharType="separate"/>
            </w:r>
            <w:r w:rsidRPr="00DA03AD">
              <w:rPr>
                <w:noProof/>
                <w:sz w:val="20"/>
                <w:szCs w:val="20"/>
                <w:vertAlign w:val="superscript"/>
              </w:rPr>
              <w:t>4</w:t>
            </w:r>
            <w:r>
              <w:rPr>
                <w:sz w:val="20"/>
                <w:szCs w:val="20"/>
              </w:rPr>
              <w:fldChar w:fldCharType="end"/>
            </w:r>
          </w:p>
        </w:tc>
      </w:tr>
      <w:tr w:rsidR="00370DE5" w14:paraId="6EC2A5BC" w14:textId="77777777" w:rsidTr="008A043E">
        <w:tc>
          <w:tcPr>
            <w:tcW w:w="3600" w:type="dxa"/>
          </w:tcPr>
          <w:p w14:paraId="0576A35F" w14:textId="1652A9D2" w:rsidR="00370DE5" w:rsidRDefault="00370DE5" w:rsidP="008A043E">
            <w:pPr>
              <w:rPr>
                <w:b/>
                <w:sz w:val="20"/>
                <w:szCs w:val="20"/>
              </w:rPr>
            </w:pPr>
            <w:r>
              <w:rPr>
                <w:b/>
                <w:sz w:val="20"/>
                <w:szCs w:val="20"/>
              </w:rPr>
              <w:t>Lack of Social Support</w:t>
            </w:r>
          </w:p>
          <w:p w14:paraId="33662BC9" w14:textId="77777777" w:rsidR="00370DE5" w:rsidRDefault="00370DE5" w:rsidP="008A043E">
            <w:pPr>
              <w:spacing w:after="120"/>
              <w:rPr>
                <w:b/>
                <w:sz w:val="20"/>
                <w:szCs w:val="20"/>
              </w:rPr>
            </w:pPr>
            <w:r>
              <w:rPr>
                <w:sz w:val="20"/>
                <w:szCs w:val="20"/>
              </w:rPr>
              <w:lastRenderedPageBreak/>
              <w:t>Women with minimal support from partners, family, or community networks may turn to substances to manage isolation and stress.</w:t>
            </w:r>
            <w:r>
              <w:rPr>
                <w:sz w:val="20"/>
                <w:szCs w:val="20"/>
              </w:rPr>
              <w:fldChar w:fldCharType="begin"/>
            </w:r>
            <w:r>
              <w:rPr>
                <w:sz w:val="20"/>
                <w:szCs w:val="20"/>
              </w:rPr>
              <w:instrText xml:space="preserve"> ADDIN EN.CITE &lt;EndNote&gt;&lt;Cite&gt;&lt;Author&gt;Substance Abuse and Mental Health Services Administration (SAMHSA)&lt;/Author&gt;&lt;Year&gt;2025&lt;/Year&gt;&lt;RecNum&gt;456&lt;/RecNum&gt;&lt;DisplayText&gt;&lt;style face="superscript"&gt;5&lt;/style&gt;&lt;/DisplayText&gt;&lt;record&gt;&lt;rec-number&gt;456&lt;/rec-number&gt;&lt;foreign-keys&gt;&lt;key app="EN" db-id="2rdfwv2wpaerz8e2v93xvwrjpfzad0vxxve5" timestamp="1757436116"&gt;456&lt;/key&gt;&lt;/foreign-keys&gt;&lt;ref-type name="Web Page"&gt;12&lt;/ref-type&gt;&lt;contributors&gt;&lt;authors&gt;&lt;author&gt;Substance Abuse and Mental Health Services Administration (SAMHSA),&lt;/author&gt;&lt;author&gt;Office of Women&amp;apos;s Health (OWH),&lt;/author&gt;&lt;/authors&gt;&lt;/contributors&gt;&lt;titles&gt;&lt;title&gt;Task Force on Maternal Mental Health&lt;/title&gt;&lt;/titles&gt;&lt;volume&gt;2025&lt;/volume&gt;&lt;number&gt;Aug 25&lt;/number&gt;&lt;dates&gt;&lt;year&gt;2025&lt;/year&gt;&lt;/dates&gt;&lt;urls&gt;&lt;related-urls&gt;&lt;url&gt;https://www.samhsa.gov/about/advisory-councils/acws/maternal-health&lt;/url&gt;&lt;/related-urls&gt;&lt;/urls&gt;&lt;/record&gt;&lt;/Cite&gt;&lt;/EndNote&gt;</w:instrText>
            </w:r>
            <w:r>
              <w:rPr>
                <w:sz w:val="20"/>
                <w:szCs w:val="20"/>
              </w:rPr>
              <w:fldChar w:fldCharType="separate"/>
            </w:r>
            <w:r w:rsidRPr="00DB5CFD">
              <w:rPr>
                <w:noProof/>
                <w:sz w:val="20"/>
                <w:szCs w:val="20"/>
                <w:vertAlign w:val="superscript"/>
              </w:rPr>
              <w:t>5</w:t>
            </w:r>
            <w:r>
              <w:rPr>
                <w:sz w:val="20"/>
                <w:szCs w:val="20"/>
              </w:rPr>
              <w:fldChar w:fldCharType="end"/>
            </w:r>
          </w:p>
        </w:tc>
        <w:tc>
          <w:tcPr>
            <w:tcW w:w="2169" w:type="dxa"/>
            <w:vMerge/>
            <w:vAlign w:val="center"/>
          </w:tcPr>
          <w:p w14:paraId="71AA814D" w14:textId="77777777" w:rsidR="00370DE5" w:rsidRDefault="00370DE5" w:rsidP="008A043E">
            <w:pPr>
              <w:widowControl w:val="0"/>
              <w:pBdr>
                <w:top w:val="nil"/>
                <w:left w:val="nil"/>
                <w:bottom w:val="nil"/>
                <w:right w:val="nil"/>
                <w:between w:val="nil"/>
              </w:pBdr>
              <w:spacing w:line="276" w:lineRule="auto"/>
              <w:rPr>
                <w:b/>
                <w:sz w:val="20"/>
                <w:szCs w:val="20"/>
              </w:rPr>
            </w:pPr>
          </w:p>
        </w:tc>
        <w:tc>
          <w:tcPr>
            <w:tcW w:w="3600" w:type="dxa"/>
          </w:tcPr>
          <w:p w14:paraId="352F6B86" w14:textId="53DF2B91" w:rsidR="00370DE5" w:rsidRDefault="00370DE5" w:rsidP="008A043E">
            <w:pPr>
              <w:rPr>
                <w:b/>
                <w:sz w:val="20"/>
                <w:szCs w:val="20"/>
              </w:rPr>
            </w:pPr>
            <w:r>
              <w:rPr>
                <w:b/>
                <w:sz w:val="20"/>
                <w:szCs w:val="20"/>
              </w:rPr>
              <w:t>Support from Loved Ones</w:t>
            </w:r>
          </w:p>
          <w:p w14:paraId="773CB397" w14:textId="77777777" w:rsidR="00370DE5" w:rsidRDefault="00370DE5" w:rsidP="008A043E">
            <w:pPr>
              <w:spacing w:line="259" w:lineRule="auto"/>
              <w:rPr>
                <w:sz w:val="20"/>
                <w:szCs w:val="20"/>
              </w:rPr>
            </w:pPr>
            <w:r>
              <w:rPr>
                <w:sz w:val="20"/>
                <w:szCs w:val="20"/>
              </w:rPr>
              <w:lastRenderedPageBreak/>
              <w:t>Encouragement from their support network helps many women make positive changes.</w:t>
            </w:r>
            <w:r>
              <w:rPr>
                <w:sz w:val="20"/>
                <w:szCs w:val="20"/>
              </w:rPr>
              <w:fldChar w:fldCharType="begin"/>
            </w:r>
            <w:r>
              <w:rPr>
                <w:sz w:val="20"/>
                <w:szCs w:val="20"/>
              </w:rPr>
              <w:instrText xml:space="preserve"> ADDIN EN.CITE &lt;EndNote&gt;&lt;Cite&gt;&lt;Author&gt;National Institute on Drug Abuse (NIDA)&lt;/Author&gt;&lt;Year&gt;2020&lt;/Year&gt;&lt;RecNum&gt;147&lt;/RecNum&gt;&lt;DisplayText&gt;&lt;style face="superscript"&gt;4&lt;/style&gt;&lt;/DisplayText&gt;&lt;record&gt;&lt;rec-number&gt;147&lt;/rec-number&gt;&lt;foreign-keys&gt;&lt;key app="EN" db-id="2rdfwv2wpaerz8e2v93xvwrjpfzad0vxxve5" timestamp="1732645263"&gt;147&lt;/key&gt;&lt;/foreign-keys&gt;&lt;ref-type name="Web Page"&gt;12&lt;/ref-type&gt;&lt;contributors&gt;&lt;authors&gt;&lt;author&gt;National Institute on Drug Abuse (NIDA),&lt;/author&gt;&lt;/authors&gt;&lt;/contributors&gt;&lt;titles&gt;&lt;title&gt;Substance use in women research report&lt;/title&gt;&lt;/titles&gt;&lt;volume&gt;2024&lt;/volume&gt;&lt;number&gt;Nov 26&lt;/number&gt;&lt;dates&gt;&lt;year&gt;2020&lt;/year&gt;&lt;/dates&gt;&lt;urls&gt;&lt;related-urls&gt;&lt;url&gt;https://nida.nih.gov/publications/drugfacts/substance-use-in-women&lt;/url&gt;&lt;/related-urls&gt;&lt;/urls&gt;&lt;/record&gt;&lt;/Cite&gt;&lt;/EndNote&gt;</w:instrText>
            </w:r>
            <w:r>
              <w:rPr>
                <w:sz w:val="20"/>
                <w:szCs w:val="20"/>
              </w:rPr>
              <w:fldChar w:fldCharType="separate"/>
            </w:r>
            <w:r w:rsidRPr="00DA03AD">
              <w:rPr>
                <w:noProof/>
                <w:sz w:val="20"/>
                <w:szCs w:val="20"/>
                <w:vertAlign w:val="superscript"/>
              </w:rPr>
              <w:t>4</w:t>
            </w:r>
            <w:r>
              <w:rPr>
                <w:sz w:val="20"/>
                <w:szCs w:val="20"/>
              </w:rPr>
              <w:fldChar w:fldCharType="end"/>
            </w:r>
          </w:p>
        </w:tc>
      </w:tr>
      <w:tr w:rsidR="00370DE5" w14:paraId="1A4F0A48" w14:textId="77777777" w:rsidTr="008A043E">
        <w:tc>
          <w:tcPr>
            <w:tcW w:w="3600" w:type="dxa"/>
          </w:tcPr>
          <w:p w14:paraId="3C5CFD21" w14:textId="2C188E54" w:rsidR="00370DE5" w:rsidRDefault="00370DE5" w:rsidP="008A043E">
            <w:pPr>
              <w:rPr>
                <w:b/>
                <w:sz w:val="20"/>
                <w:szCs w:val="20"/>
              </w:rPr>
            </w:pPr>
            <w:r>
              <w:rPr>
                <w:b/>
                <w:sz w:val="20"/>
                <w:szCs w:val="20"/>
              </w:rPr>
              <w:lastRenderedPageBreak/>
              <w:t>Mental Health Disorders</w:t>
            </w:r>
          </w:p>
          <w:p w14:paraId="5667C11D" w14:textId="77777777" w:rsidR="00370DE5" w:rsidRDefault="00370DE5" w:rsidP="008A043E">
            <w:pPr>
              <w:spacing w:after="120"/>
              <w:rPr>
                <w:sz w:val="20"/>
                <w:szCs w:val="20"/>
              </w:rPr>
            </w:pPr>
            <w:r>
              <w:rPr>
                <w:sz w:val="20"/>
                <w:szCs w:val="20"/>
              </w:rPr>
              <w:t>Pregnant women with SUD are more likely to experience mental health conditions, including depression, anxiety, PTSD,</w:t>
            </w:r>
            <w:r>
              <w:rPr>
                <w:sz w:val="20"/>
                <w:szCs w:val="20"/>
              </w:rPr>
              <w:fldChar w:fldCharType="begin"/>
            </w:r>
            <w:r>
              <w:rPr>
                <w:sz w:val="20"/>
                <w:szCs w:val="20"/>
              </w:rPr>
              <w:instrText xml:space="preserve"> ADDIN EN.CITE &lt;EndNote&gt;&lt;Cite&gt;&lt;Author&gt;National Institutes on Drug Abuse&lt;/Author&gt;&lt;Year&gt;2020&lt;/Year&gt;&lt;RecNum&gt;457&lt;/RecNum&gt;&lt;DisplayText&gt;&lt;style face="superscript"&gt;6&lt;/style&gt;&lt;/DisplayText&gt;&lt;record&gt;&lt;rec-number&gt;457&lt;/rec-number&gt;&lt;foreign-keys&gt;&lt;key app="EN" db-id="2rdfwv2wpaerz8e2v93xvwrjpfzad0vxxve5" timestamp="1757436347"&gt;457&lt;/key&gt;&lt;/foreign-keys&gt;&lt;ref-type name="Web Page"&gt;12&lt;/ref-type&gt;&lt;contributors&gt;&lt;authors&gt;&lt;author&gt;National Institutes on Drug Abuse,&lt;/author&gt;&lt;/authors&gt;&lt;/contributors&gt;&lt;titles&gt;&lt;title&gt;Common comorbidities with substance use disorders research report&lt;/title&gt;&lt;/titles&gt;&lt;volume&gt;2025&lt;/volume&gt;&lt;number&gt;Sep 9&lt;/number&gt;&lt;dates&gt;&lt;year&gt;2020&lt;/year&gt;&lt;/dates&gt;&lt;urls&gt;&lt;related-urls&gt;&lt;url&gt;https://www.ncbi.nlm.nih.gov/books/NBK571451/&lt;/url&gt;&lt;/related-urls&gt;&lt;/urls&gt;&lt;/record&gt;&lt;/Cite&gt;&lt;/EndNote&gt;</w:instrText>
            </w:r>
            <w:r>
              <w:rPr>
                <w:sz w:val="20"/>
                <w:szCs w:val="20"/>
              </w:rPr>
              <w:fldChar w:fldCharType="separate"/>
            </w:r>
            <w:r w:rsidRPr="00DB5CFD">
              <w:rPr>
                <w:noProof/>
                <w:sz w:val="20"/>
                <w:szCs w:val="20"/>
                <w:vertAlign w:val="superscript"/>
              </w:rPr>
              <w:t>6</w:t>
            </w:r>
            <w:r>
              <w:rPr>
                <w:sz w:val="20"/>
                <w:szCs w:val="20"/>
              </w:rPr>
              <w:fldChar w:fldCharType="end"/>
            </w:r>
            <w:r>
              <w:rPr>
                <w:sz w:val="20"/>
                <w:szCs w:val="20"/>
              </w:rPr>
              <w:t xml:space="preserve"> and may use substances to cope with untreated mental health issues.  </w:t>
            </w:r>
          </w:p>
        </w:tc>
        <w:tc>
          <w:tcPr>
            <w:tcW w:w="2169" w:type="dxa"/>
            <w:vMerge w:val="restart"/>
            <w:vAlign w:val="center"/>
          </w:tcPr>
          <w:p w14:paraId="6568657A" w14:textId="77777777" w:rsidR="00370DE5" w:rsidRDefault="00370DE5" w:rsidP="008A043E">
            <w:pPr>
              <w:spacing w:line="259" w:lineRule="auto"/>
              <w:jc w:val="center"/>
              <w:rPr>
                <w:b/>
                <w:sz w:val="20"/>
                <w:szCs w:val="20"/>
              </w:rPr>
            </w:pPr>
            <w:r>
              <w:rPr>
                <w:b/>
                <w:sz w:val="20"/>
                <w:szCs w:val="20"/>
              </w:rPr>
              <w:t>Health and Healthcare Considerations</w:t>
            </w:r>
          </w:p>
          <w:p w14:paraId="7109E165" w14:textId="77777777" w:rsidR="00370DE5" w:rsidRDefault="00370DE5" w:rsidP="008A043E">
            <w:pPr>
              <w:spacing w:line="259" w:lineRule="auto"/>
              <w:jc w:val="center"/>
              <w:rPr>
                <w:b/>
                <w:sz w:val="20"/>
                <w:szCs w:val="20"/>
              </w:rPr>
            </w:pPr>
          </w:p>
        </w:tc>
        <w:tc>
          <w:tcPr>
            <w:tcW w:w="3600" w:type="dxa"/>
          </w:tcPr>
          <w:p w14:paraId="2318C4FF" w14:textId="3EAD16E2" w:rsidR="00370DE5" w:rsidRDefault="00370DE5" w:rsidP="008A043E">
            <w:pPr>
              <w:rPr>
                <w:b/>
                <w:sz w:val="20"/>
                <w:szCs w:val="20"/>
              </w:rPr>
            </w:pPr>
            <w:r>
              <w:rPr>
                <w:b/>
                <w:sz w:val="20"/>
                <w:szCs w:val="20"/>
              </w:rPr>
              <w:t>Supportive Healthcare</w:t>
            </w:r>
          </w:p>
          <w:p w14:paraId="084A344C" w14:textId="77777777" w:rsidR="00370DE5" w:rsidRDefault="00370DE5" w:rsidP="008A043E">
            <w:pPr>
              <w:spacing w:line="259" w:lineRule="auto"/>
              <w:rPr>
                <w:sz w:val="20"/>
                <w:szCs w:val="20"/>
              </w:rPr>
            </w:pPr>
            <w:r>
              <w:rPr>
                <w:sz w:val="20"/>
                <w:szCs w:val="20"/>
              </w:rPr>
              <w:t xml:space="preserve">Consistent and compassionate healthcare can give women the resources (including MOUD) they need to reduce harms. </w:t>
            </w:r>
          </w:p>
          <w:p w14:paraId="21C4E9EE" w14:textId="77777777" w:rsidR="00370DE5" w:rsidRDefault="00370DE5" w:rsidP="008A043E">
            <w:pPr>
              <w:spacing w:line="259" w:lineRule="auto"/>
              <w:rPr>
                <w:sz w:val="20"/>
                <w:szCs w:val="20"/>
              </w:rPr>
            </w:pPr>
          </w:p>
        </w:tc>
      </w:tr>
      <w:tr w:rsidR="00370DE5" w14:paraId="125EC643" w14:textId="77777777" w:rsidTr="008A043E">
        <w:tc>
          <w:tcPr>
            <w:tcW w:w="3600" w:type="dxa"/>
          </w:tcPr>
          <w:p w14:paraId="654A362F" w14:textId="67475A14" w:rsidR="00370DE5" w:rsidRDefault="00370DE5" w:rsidP="008A043E">
            <w:pPr>
              <w:rPr>
                <w:b/>
                <w:sz w:val="20"/>
                <w:szCs w:val="20"/>
              </w:rPr>
            </w:pPr>
            <w:r>
              <w:rPr>
                <w:b/>
                <w:sz w:val="20"/>
                <w:szCs w:val="20"/>
              </w:rPr>
              <w:t>Polysubstance Use</w:t>
            </w:r>
          </w:p>
          <w:p w14:paraId="6B0D9498" w14:textId="77777777" w:rsidR="00370DE5" w:rsidRDefault="00370DE5" w:rsidP="008A043E">
            <w:pPr>
              <w:spacing w:after="120"/>
              <w:rPr>
                <w:sz w:val="20"/>
                <w:szCs w:val="20"/>
              </w:rPr>
            </w:pPr>
            <w:r>
              <w:rPr>
                <w:sz w:val="20"/>
                <w:szCs w:val="20"/>
              </w:rPr>
              <w:t>Increases dependency and the likelihood of continued use during pregnancy.</w:t>
            </w:r>
          </w:p>
          <w:p w14:paraId="030A7E2A" w14:textId="77777777" w:rsidR="00370DE5" w:rsidRDefault="00370DE5" w:rsidP="008A043E">
            <w:pPr>
              <w:spacing w:line="259" w:lineRule="auto"/>
              <w:rPr>
                <w:sz w:val="20"/>
                <w:szCs w:val="20"/>
              </w:rPr>
            </w:pPr>
          </w:p>
        </w:tc>
        <w:tc>
          <w:tcPr>
            <w:tcW w:w="2169" w:type="dxa"/>
            <w:vMerge/>
            <w:vAlign w:val="center"/>
          </w:tcPr>
          <w:p w14:paraId="4496B6F2" w14:textId="77777777" w:rsidR="00370DE5" w:rsidRDefault="00370DE5" w:rsidP="008A043E">
            <w:pPr>
              <w:spacing w:line="259" w:lineRule="auto"/>
              <w:jc w:val="center"/>
              <w:rPr>
                <w:sz w:val="20"/>
                <w:szCs w:val="20"/>
              </w:rPr>
            </w:pPr>
          </w:p>
        </w:tc>
        <w:tc>
          <w:tcPr>
            <w:tcW w:w="3600" w:type="dxa"/>
          </w:tcPr>
          <w:p w14:paraId="64F549C4" w14:textId="59AA10B2" w:rsidR="00370DE5" w:rsidRDefault="00370DE5" w:rsidP="008A043E">
            <w:pPr>
              <w:rPr>
                <w:b/>
                <w:sz w:val="20"/>
                <w:szCs w:val="20"/>
              </w:rPr>
            </w:pPr>
            <w:r>
              <w:rPr>
                <w:b/>
                <w:sz w:val="20"/>
                <w:szCs w:val="20"/>
              </w:rPr>
              <w:t>Wanting to Feel Better</w:t>
            </w:r>
          </w:p>
          <w:p w14:paraId="311BCB9B" w14:textId="77777777" w:rsidR="00370DE5" w:rsidRDefault="00370DE5" w:rsidP="008A043E">
            <w:pPr>
              <w:spacing w:line="259" w:lineRule="auto"/>
              <w:rPr>
                <w:sz w:val="20"/>
                <w:szCs w:val="20"/>
              </w:rPr>
            </w:pPr>
            <w:r>
              <w:rPr>
                <w:sz w:val="20"/>
                <w:szCs w:val="20"/>
              </w:rPr>
              <w:t>Pregnancy can motivate healthier choices, and some women notice they feel better when they cut back or quit using substances.</w:t>
            </w:r>
          </w:p>
        </w:tc>
      </w:tr>
      <w:tr w:rsidR="00370DE5" w14:paraId="21A13A19" w14:textId="77777777" w:rsidTr="008A043E">
        <w:tc>
          <w:tcPr>
            <w:tcW w:w="3600" w:type="dxa"/>
          </w:tcPr>
          <w:p w14:paraId="58E8C0B8" w14:textId="3A0C5C98" w:rsidR="00370DE5" w:rsidRDefault="00370DE5" w:rsidP="008A043E">
            <w:pPr>
              <w:rPr>
                <w:b/>
                <w:sz w:val="20"/>
                <w:szCs w:val="20"/>
              </w:rPr>
            </w:pPr>
            <w:r>
              <w:rPr>
                <w:b/>
                <w:sz w:val="20"/>
                <w:szCs w:val="20"/>
              </w:rPr>
              <w:t>Limited Access to Treatment</w:t>
            </w:r>
          </w:p>
          <w:p w14:paraId="74363E83" w14:textId="77777777" w:rsidR="00370DE5" w:rsidRDefault="00370DE5" w:rsidP="008A043E">
            <w:pPr>
              <w:spacing w:after="120"/>
              <w:rPr>
                <w:sz w:val="20"/>
                <w:szCs w:val="20"/>
              </w:rPr>
            </w:pPr>
            <w:r>
              <w:rPr>
                <w:sz w:val="20"/>
                <w:szCs w:val="20"/>
              </w:rPr>
              <w:t>Lack of specialized addiction treatment for pregnant women, cost, lack of childcare, transportation, and stigma within healthcare settings prevent access to care.</w:t>
            </w:r>
          </w:p>
          <w:p w14:paraId="60092877" w14:textId="77777777" w:rsidR="00370DE5" w:rsidRDefault="00370DE5" w:rsidP="008A043E">
            <w:pPr>
              <w:spacing w:line="259" w:lineRule="auto"/>
              <w:rPr>
                <w:sz w:val="20"/>
                <w:szCs w:val="20"/>
              </w:rPr>
            </w:pPr>
          </w:p>
        </w:tc>
        <w:tc>
          <w:tcPr>
            <w:tcW w:w="2169" w:type="dxa"/>
            <w:vMerge/>
            <w:vAlign w:val="center"/>
          </w:tcPr>
          <w:p w14:paraId="5A624741" w14:textId="77777777" w:rsidR="00370DE5" w:rsidRDefault="00370DE5" w:rsidP="008A043E">
            <w:pPr>
              <w:spacing w:line="259" w:lineRule="auto"/>
              <w:jc w:val="center"/>
              <w:rPr>
                <w:sz w:val="20"/>
                <w:szCs w:val="20"/>
              </w:rPr>
            </w:pPr>
          </w:p>
        </w:tc>
        <w:tc>
          <w:tcPr>
            <w:tcW w:w="3600" w:type="dxa"/>
          </w:tcPr>
          <w:p w14:paraId="07546348" w14:textId="2C519CE2" w:rsidR="00370DE5" w:rsidRDefault="00370DE5" w:rsidP="008A043E">
            <w:pPr>
              <w:rPr>
                <w:b/>
                <w:sz w:val="20"/>
                <w:szCs w:val="20"/>
              </w:rPr>
            </w:pPr>
            <w:r>
              <w:rPr>
                <w:b/>
                <w:sz w:val="20"/>
                <w:szCs w:val="20"/>
              </w:rPr>
              <w:t>Therapy and Counseling</w:t>
            </w:r>
          </w:p>
          <w:p w14:paraId="4B716C64" w14:textId="77777777" w:rsidR="00370DE5" w:rsidRDefault="00370DE5" w:rsidP="008A043E">
            <w:pPr>
              <w:spacing w:line="259" w:lineRule="auto"/>
              <w:rPr>
                <w:sz w:val="20"/>
                <w:szCs w:val="20"/>
              </w:rPr>
            </w:pPr>
            <w:r>
              <w:rPr>
                <w:sz w:val="20"/>
                <w:szCs w:val="20"/>
              </w:rPr>
              <w:t>Therapy, peer support groups, or case management help women feel less alone and give them practical strategies to make changes.</w:t>
            </w:r>
          </w:p>
          <w:p w14:paraId="59580ABF" w14:textId="77777777" w:rsidR="00370DE5" w:rsidRDefault="00370DE5" w:rsidP="008A043E">
            <w:pPr>
              <w:spacing w:line="259" w:lineRule="auto"/>
              <w:rPr>
                <w:sz w:val="20"/>
                <w:szCs w:val="20"/>
              </w:rPr>
            </w:pPr>
          </w:p>
        </w:tc>
      </w:tr>
      <w:tr w:rsidR="00370DE5" w14:paraId="07C89B7C" w14:textId="77777777" w:rsidTr="008A043E">
        <w:tc>
          <w:tcPr>
            <w:tcW w:w="3600" w:type="dxa"/>
          </w:tcPr>
          <w:p w14:paraId="413E9C76" w14:textId="1813CF4C" w:rsidR="00370DE5" w:rsidRPr="00CE551D" w:rsidRDefault="00370DE5" w:rsidP="008A043E">
            <w:pPr>
              <w:rPr>
                <w:b/>
                <w:sz w:val="20"/>
                <w:szCs w:val="20"/>
              </w:rPr>
            </w:pPr>
            <w:r w:rsidRPr="00CE551D">
              <w:rPr>
                <w:b/>
                <w:sz w:val="20"/>
                <w:szCs w:val="20"/>
              </w:rPr>
              <w:t>Withdrawal Risks</w:t>
            </w:r>
          </w:p>
          <w:p w14:paraId="1A052A5E" w14:textId="77777777" w:rsidR="00370DE5" w:rsidRPr="00CE551D" w:rsidRDefault="00370DE5" w:rsidP="008A043E">
            <w:pPr>
              <w:rPr>
                <w:b/>
                <w:color w:val="C00000"/>
                <w:sz w:val="32"/>
                <w:szCs w:val="32"/>
              </w:rPr>
            </w:pPr>
            <w:r>
              <w:rPr>
                <w:sz w:val="20"/>
                <w:szCs w:val="20"/>
              </w:rPr>
              <w:t>When pregnant people stop using substances, the risk of withdrawal can be dangerous. Medical care is necessary when quitting any substance. Discrimination is a barrier.</w:t>
            </w:r>
          </w:p>
        </w:tc>
        <w:tc>
          <w:tcPr>
            <w:tcW w:w="2169" w:type="dxa"/>
            <w:vMerge/>
            <w:vAlign w:val="center"/>
          </w:tcPr>
          <w:p w14:paraId="53372746" w14:textId="77777777" w:rsidR="00370DE5" w:rsidRDefault="00370DE5" w:rsidP="008A043E">
            <w:pPr>
              <w:spacing w:line="259" w:lineRule="auto"/>
              <w:jc w:val="center"/>
              <w:rPr>
                <w:sz w:val="20"/>
                <w:szCs w:val="20"/>
              </w:rPr>
            </w:pPr>
          </w:p>
        </w:tc>
        <w:tc>
          <w:tcPr>
            <w:tcW w:w="3600" w:type="dxa"/>
          </w:tcPr>
          <w:p w14:paraId="05EA7B14" w14:textId="66D94D1F" w:rsidR="00370DE5" w:rsidRPr="00CE551D" w:rsidRDefault="00370DE5" w:rsidP="008A043E">
            <w:pPr>
              <w:rPr>
                <w:b/>
                <w:sz w:val="20"/>
                <w:szCs w:val="20"/>
              </w:rPr>
            </w:pPr>
            <w:r w:rsidRPr="00CE551D">
              <w:rPr>
                <w:b/>
                <w:sz w:val="20"/>
                <w:szCs w:val="20"/>
              </w:rPr>
              <w:t>Informed Healthcare Providers</w:t>
            </w:r>
          </w:p>
          <w:p w14:paraId="0F806F28" w14:textId="77777777" w:rsidR="00370DE5" w:rsidRDefault="00370DE5" w:rsidP="008A043E">
            <w:pPr>
              <w:rPr>
                <w:sz w:val="20"/>
                <w:szCs w:val="20"/>
              </w:rPr>
            </w:pPr>
            <w:r>
              <w:rPr>
                <w:sz w:val="20"/>
                <w:szCs w:val="20"/>
              </w:rPr>
              <w:t>Finding healthcare providers who understand the options for titration and maintenance is a benefit for the pregnant person and their baby.</w:t>
            </w:r>
          </w:p>
          <w:p w14:paraId="4D35108C" w14:textId="77777777" w:rsidR="00370DE5" w:rsidRPr="00CE551D" w:rsidRDefault="00370DE5" w:rsidP="008A043E">
            <w:pPr>
              <w:rPr>
                <w:b/>
                <w:color w:val="C00000"/>
                <w:sz w:val="32"/>
                <w:szCs w:val="32"/>
              </w:rPr>
            </w:pPr>
          </w:p>
        </w:tc>
      </w:tr>
      <w:tr w:rsidR="00370DE5" w14:paraId="5F7D27C0" w14:textId="77777777" w:rsidTr="008A043E">
        <w:tc>
          <w:tcPr>
            <w:tcW w:w="3600" w:type="dxa"/>
          </w:tcPr>
          <w:p w14:paraId="3601A89B" w14:textId="20CB9BA3" w:rsidR="00370DE5" w:rsidRDefault="00FE3457" w:rsidP="008A043E">
            <w:pPr>
              <w:rPr>
                <w:sz w:val="20"/>
                <w:szCs w:val="20"/>
              </w:rPr>
            </w:pPr>
            <w:r>
              <w:rPr>
                <w:b/>
                <w:sz w:val="20"/>
                <w:szCs w:val="20"/>
              </w:rPr>
              <w:t>T</w:t>
            </w:r>
            <w:r w:rsidR="00370DE5">
              <w:rPr>
                <w:b/>
                <w:sz w:val="20"/>
                <w:szCs w:val="20"/>
              </w:rPr>
              <w:t>rauma and Adverse Childhood Experiences (ACEs)</w:t>
            </w:r>
          </w:p>
          <w:p w14:paraId="78AE23DD" w14:textId="77777777" w:rsidR="00370DE5" w:rsidRDefault="00370DE5" w:rsidP="008A043E">
            <w:pPr>
              <w:spacing w:after="120"/>
              <w:rPr>
                <w:sz w:val="20"/>
                <w:szCs w:val="20"/>
              </w:rPr>
            </w:pPr>
            <w:r>
              <w:rPr>
                <w:sz w:val="20"/>
                <w:szCs w:val="20"/>
              </w:rPr>
              <w:t>Women with experiences of trauma and abuse are more likely to use substances as a coping mechanism.</w:t>
            </w:r>
            <w:r>
              <w:rPr>
                <w:sz w:val="20"/>
                <w:szCs w:val="20"/>
              </w:rPr>
              <w:fldChar w:fldCharType="begin"/>
            </w:r>
            <w:r>
              <w:rPr>
                <w:sz w:val="20"/>
                <w:szCs w:val="20"/>
              </w:rPr>
              <w:instrText xml:space="preserve"> ADDIN EN.CITE &lt;EndNote&gt;&lt;Cite&gt;&lt;Author&gt;National Institute on Drug Abuse (NIDA)&lt;/Author&gt;&lt;Year&gt;2024&lt;/Year&gt;&lt;RecNum&gt;458&lt;/RecNum&gt;&lt;DisplayText&gt;&lt;style face="superscript"&gt;7&lt;/style&gt;&lt;/DisplayText&gt;&lt;record&gt;&lt;rec-number&gt;458&lt;/rec-number&gt;&lt;foreign-keys&gt;&lt;key app="EN" db-id="2rdfwv2wpaerz8e2v93xvwrjpfzad0vxxve5" timestamp="1757436531"&gt;458&lt;/key&gt;&lt;/foreign-keys&gt;&lt;ref-type name="Web Page"&gt;12&lt;/ref-type&gt;&lt;contributors&gt;&lt;authors&gt;&lt;author&gt;National Institute on Drug Abuse (NIDA),&lt;/author&gt;&lt;/authors&gt;&lt;/contributors&gt;&lt;titles&gt;&lt;title&gt;Trauma and stress&lt;/title&gt;&lt;/titles&gt;&lt;volume&gt;2025&lt;/volume&gt;&lt;number&gt;Sep 9&lt;/number&gt;&lt;dates&gt;&lt;year&gt;2024&lt;/year&gt;&lt;/dates&gt;&lt;urls&gt;&lt;related-urls&gt;&lt;url&gt;https://nida.nih.gov/research-topics/trauma-and-stress&lt;/url&gt;&lt;/related-urls&gt;&lt;/urls&gt;&lt;/record&gt;&lt;/Cite&gt;&lt;/EndNote&gt;</w:instrText>
            </w:r>
            <w:r>
              <w:rPr>
                <w:sz w:val="20"/>
                <w:szCs w:val="20"/>
              </w:rPr>
              <w:fldChar w:fldCharType="separate"/>
            </w:r>
            <w:r w:rsidRPr="00DB5CFD">
              <w:rPr>
                <w:noProof/>
                <w:sz w:val="20"/>
                <w:szCs w:val="20"/>
                <w:vertAlign w:val="superscript"/>
              </w:rPr>
              <w:t>7</w:t>
            </w:r>
            <w:r>
              <w:rPr>
                <w:sz w:val="20"/>
                <w:szCs w:val="20"/>
              </w:rPr>
              <w:fldChar w:fldCharType="end"/>
            </w:r>
          </w:p>
        </w:tc>
        <w:tc>
          <w:tcPr>
            <w:tcW w:w="2169" w:type="dxa"/>
            <w:vMerge/>
            <w:vAlign w:val="center"/>
          </w:tcPr>
          <w:p w14:paraId="4BA2C228" w14:textId="77777777" w:rsidR="00370DE5" w:rsidRDefault="00370DE5" w:rsidP="008A043E">
            <w:pPr>
              <w:spacing w:line="259" w:lineRule="auto"/>
              <w:jc w:val="center"/>
              <w:rPr>
                <w:b/>
                <w:sz w:val="20"/>
                <w:szCs w:val="20"/>
              </w:rPr>
            </w:pPr>
          </w:p>
        </w:tc>
        <w:tc>
          <w:tcPr>
            <w:tcW w:w="3600" w:type="dxa"/>
          </w:tcPr>
          <w:p w14:paraId="3DFF4F86" w14:textId="7BD0918D" w:rsidR="00370DE5" w:rsidRDefault="00370DE5" w:rsidP="008A043E">
            <w:pPr>
              <w:rPr>
                <w:b/>
                <w:sz w:val="20"/>
                <w:szCs w:val="20"/>
              </w:rPr>
            </w:pPr>
            <w:r>
              <w:rPr>
                <w:b/>
                <w:sz w:val="20"/>
                <w:szCs w:val="20"/>
              </w:rPr>
              <w:t>High Self-efficacy</w:t>
            </w:r>
          </w:p>
          <w:p w14:paraId="069A9D1A" w14:textId="77777777" w:rsidR="00370DE5" w:rsidRDefault="00370DE5" w:rsidP="008A043E">
            <w:pPr>
              <w:spacing w:line="259" w:lineRule="auto"/>
              <w:rPr>
                <w:sz w:val="20"/>
                <w:szCs w:val="20"/>
              </w:rPr>
            </w:pPr>
            <w:r>
              <w:rPr>
                <w:sz w:val="20"/>
                <w:szCs w:val="20"/>
              </w:rPr>
              <w:t>The belief that one can successfully perform behaviors that will achieve one’s desired goals.</w:t>
            </w:r>
          </w:p>
          <w:p w14:paraId="7489A49E" w14:textId="77777777" w:rsidR="00370DE5" w:rsidRDefault="00370DE5" w:rsidP="008A043E">
            <w:pPr>
              <w:spacing w:line="259" w:lineRule="auto"/>
              <w:rPr>
                <w:sz w:val="20"/>
                <w:szCs w:val="20"/>
              </w:rPr>
            </w:pPr>
          </w:p>
        </w:tc>
      </w:tr>
      <w:tr w:rsidR="00370DE5" w14:paraId="433320D0" w14:textId="77777777" w:rsidTr="008A043E">
        <w:tc>
          <w:tcPr>
            <w:tcW w:w="3600" w:type="dxa"/>
          </w:tcPr>
          <w:p w14:paraId="5F6ACF62" w14:textId="342AC2E2" w:rsidR="00370DE5" w:rsidRPr="00CE551D" w:rsidRDefault="00370DE5" w:rsidP="008A043E">
            <w:pPr>
              <w:rPr>
                <w:b/>
                <w:sz w:val="20"/>
                <w:szCs w:val="20"/>
              </w:rPr>
            </w:pPr>
            <w:r w:rsidRPr="00CE551D">
              <w:rPr>
                <w:b/>
                <w:sz w:val="20"/>
                <w:szCs w:val="20"/>
              </w:rPr>
              <w:t>Racial Disparities</w:t>
            </w:r>
            <w:r>
              <w:rPr>
                <w:b/>
                <w:sz w:val="20"/>
                <w:szCs w:val="20"/>
              </w:rPr>
              <w:fldChar w:fldCharType="begin"/>
            </w:r>
            <w:r>
              <w:rPr>
                <w:b/>
                <w:sz w:val="20"/>
                <w:szCs w:val="20"/>
              </w:rPr>
              <w:instrText xml:space="preserve"> ADDIN EN.CITE &lt;EndNote&gt;&lt;Cite&gt;&lt;Author&gt;Centers for Disease Control and Prevention (CDC)&lt;/Author&gt;&lt;Year&gt;2025&lt;/Year&gt;&lt;RecNum&gt;459&lt;/RecNum&gt;&lt;DisplayText&gt;&lt;style face="superscript"&gt;8&lt;/style&gt;&lt;/DisplayText&gt;&lt;record&gt;&lt;rec-number&gt;459&lt;/rec-number&gt;&lt;foreign-keys&gt;&lt;key app="EN" db-id="2rdfwv2wpaerz8e2v93xvwrjpfzad0vxxve5" timestamp="1757436910"&gt;459&lt;/key&gt;&lt;/foreign-keys&gt;&lt;ref-type name="Web Page"&gt;12&lt;/ref-type&gt;&lt;contributors&gt;&lt;authors&gt;&lt;author&gt;Centers for Disease Control and Prevention (CDC),&lt;/author&gt;&lt;/authors&gt;&lt;/contributors&gt;&lt;titles&gt;&lt;title&gt;Data from the Pregnancy Mortality Surveillance System&lt;/title&gt;&lt;/titles&gt;&lt;volume&gt;2025&lt;/volume&gt;&lt;number&gt;Sep 9&lt;/number&gt;&lt;dates&gt;&lt;year&gt;2025&lt;/year&gt;&lt;/dates&gt;&lt;urls&gt;&lt;related-urls&gt;&lt;url&gt;https://www.cdc.gov/maternal-mortality/php/pregnancy-mortality-surveillance-data/index.html?cove-tab=1&lt;/url&gt;&lt;/related-urls&gt;&lt;/urls&gt;&lt;/record&gt;&lt;/Cite&gt;&lt;/EndNote&gt;</w:instrText>
            </w:r>
            <w:r>
              <w:rPr>
                <w:b/>
                <w:sz w:val="20"/>
                <w:szCs w:val="20"/>
              </w:rPr>
              <w:fldChar w:fldCharType="separate"/>
            </w:r>
            <w:r w:rsidRPr="007D2CE4">
              <w:rPr>
                <w:b/>
                <w:noProof/>
                <w:sz w:val="20"/>
                <w:szCs w:val="20"/>
                <w:vertAlign w:val="superscript"/>
              </w:rPr>
              <w:t>8</w:t>
            </w:r>
            <w:r>
              <w:rPr>
                <w:b/>
                <w:sz w:val="20"/>
                <w:szCs w:val="20"/>
              </w:rPr>
              <w:fldChar w:fldCharType="end"/>
            </w:r>
          </w:p>
          <w:p w14:paraId="1FA2CC41" w14:textId="77777777" w:rsidR="00370DE5" w:rsidRDefault="00370DE5" w:rsidP="008A043E">
            <w:pPr>
              <w:rPr>
                <w:b/>
                <w:color w:val="C00000"/>
                <w:sz w:val="32"/>
                <w:szCs w:val="32"/>
              </w:rPr>
            </w:pPr>
            <w:r>
              <w:rPr>
                <w:sz w:val="20"/>
                <w:szCs w:val="20"/>
              </w:rPr>
              <w:t>Black women comprised ~30% of deaths yet represent a much smaller share of births. AI/AN women face high postpartum and preventable death rates.</w:t>
            </w:r>
          </w:p>
        </w:tc>
        <w:tc>
          <w:tcPr>
            <w:tcW w:w="2169" w:type="dxa"/>
            <w:vMerge/>
            <w:vAlign w:val="center"/>
          </w:tcPr>
          <w:p w14:paraId="4382916F" w14:textId="77777777" w:rsidR="00370DE5" w:rsidRDefault="00370DE5" w:rsidP="008A043E">
            <w:pPr>
              <w:spacing w:line="259" w:lineRule="auto"/>
              <w:jc w:val="center"/>
              <w:rPr>
                <w:b/>
                <w:sz w:val="20"/>
                <w:szCs w:val="20"/>
              </w:rPr>
            </w:pPr>
          </w:p>
        </w:tc>
        <w:tc>
          <w:tcPr>
            <w:tcW w:w="3600" w:type="dxa"/>
          </w:tcPr>
          <w:p w14:paraId="03123588" w14:textId="6D625C16" w:rsidR="00370DE5" w:rsidRDefault="00370DE5" w:rsidP="008A043E">
            <w:pPr>
              <w:rPr>
                <w:b/>
                <w:sz w:val="20"/>
                <w:szCs w:val="20"/>
              </w:rPr>
            </w:pPr>
            <w:r w:rsidRPr="00162CAD">
              <w:rPr>
                <w:b/>
                <w:sz w:val="20"/>
                <w:szCs w:val="20"/>
              </w:rPr>
              <w:t>Awareness and</w:t>
            </w:r>
            <w:r>
              <w:rPr>
                <w:b/>
                <w:sz w:val="20"/>
                <w:szCs w:val="20"/>
              </w:rPr>
              <w:t xml:space="preserve"> Culturally Competent Care</w:t>
            </w:r>
          </w:p>
          <w:p w14:paraId="6C9C4C97" w14:textId="77777777" w:rsidR="00370DE5" w:rsidRPr="00162CAD" w:rsidRDefault="00370DE5" w:rsidP="008A043E">
            <w:pPr>
              <w:spacing w:after="120" w:line="259" w:lineRule="auto"/>
              <w:rPr>
                <w:sz w:val="20"/>
                <w:szCs w:val="20"/>
              </w:rPr>
            </w:pPr>
            <w:r w:rsidRPr="00162CAD">
              <w:rPr>
                <w:sz w:val="20"/>
                <w:szCs w:val="20"/>
              </w:rPr>
              <w:t>Peers</w:t>
            </w:r>
            <w:r>
              <w:rPr>
                <w:sz w:val="20"/>
                <w:szCs w:val="20"/>
              </w:rPr>
              <w:t xml:space="preserve">, birth workers, and healthcare providers can be alert to bias and use empathetic, culturally responsive communication. They can recognize and advocate when </w:t>
            </w:r>
            <w:r w:rsidRPr="00162CAD">
              <w:rPr>
                <w:sz w:val="20"/>
                <w:szCs w:val="20"/>
              </w:rPr>
              <w:t xml:space="preserve">symptoms suggest risks. </w:t>
            </w:r>
            <w:r>
              <w:rPr>
                <w:sz w:val="20"/>
                <w:szCs w:val="20"/>
              </w:rPr>
              <w:t>S</w:t>
            </w:r>
            <w:r w:rsidRPr="00162CAD">
              <w:rPr>
                <w:sz w:val="20"/>
                <w:szCs w:val="20"/>
              </w:rPr>
              <w:t xml:space="preserve">upport </w:t>
            </w:r>
            <w:r>
              <w:rPr>
                <w:sz w:val="20"/>
                <w:szCs w:val="20"/>
              </w:rPr>
              <w:t>people</w:t>
            </w:r>
            <w:r w:rsidRPr="00162CAD">
              <w:rPr>
                <w:sz w:val="20"/>
                <w:szCs w:val="20"/>
              </w:rPr>
              <w:t xml:space="preserve"> postpartum (as many losses occur well after birth), and </w:t>
            </w:r>
            <w:r w:rsidRPr="00162CAD">
              <w:rPr>
                <w:sz w:val="20"/>
                <w:szCs w:val="20"/>
              </w:rPr>
              <w:br/>
              <w:t>address social determinants.</w:t>
            </w:r>
          </w:p>
        </w:tc>
      </w:tr>
      <w:tr w:rsidR="00370DE5" w14:paraId="63B4B3A9" w14:textId="77777777" w:rsidTr="008A043E">
        <w:tc>
          <w:tcPr>
            <w:tcW w:w="3600" w:type="dxa"/>
          </w:tcPr>
          <w:p w14:paraId="1B7EA1F5" w14:textId="2D53D0EB" w:rsidR="00370DE5" w:rsidRDefault="00370DE5" w:rsidP="008A043E">
            <w:pPr>
              <w:rPr>
                <w:sz w:val="20"/>
                <w:szCs w:val="20"/>
              </w:rPr>
            </w:pPr>
            <w:r>
              <w:rPr>
                <w:b/>
                <w:sz w:val="20"/>
                <w:szCs w:val="20"/>
              </w:rPr>
              <w:t>Stigma and Legal Consequences</w:t>
            </w:r>
          </w:p>
          <w:p w14:paraId="6417F809" w14:textId="77777777" w:rsidR="00370DE5" w:rsidRDefault="00370DE5" w:rsidP="008A043E">
            <w:pPr>
              <w:spacing w:after="120"/>
              <w:rPr>
                <w:sz w:val="20"/>
                <w:szCs w:val="20"/>
              </w:rPr>
            </w:pPr>
            <w:r>
              <w:rPr>
                <w:sz w:val="20"/>
                <w:szCs w:val="20"/>
              </w:rPr>
              <w:t xml:space="preserve">Pregnant people may avoid seeking help due to fear of judgment, </w:t>
            </w:r>
            <w:r>
              <w:rPr>
                <w:sz w:val="20"/>
                <w:szCs w:val="20"/>
              </w:rPr>
              <w:lastRenderedPageBreak/>
              <w:t>criminalization, or involvement with child welfare.</w:t>
            </w:r>
          </w:p>
        </w:tc>
        <w:tc>
          <w:tcPr>
            <w:tcW w:w="2169" w:type="dxa"/>
            <w:vAlign w:val="center"/>
          </w:tcPr>
          <w:p w14:paraId="06936EC7" w14:textId="77777777" w:rsidR="00370DE5" w:rsidRDefault="00370DE5" w:rsidP="008A043E">
            <w:pPr>
              <w:spacing w:line="259" w:lineRule="auto"/>
              <w:jc w:val="center"/>
              <w:rPr>
                <w:b/>
                <w:sz w:val="20"/>
                <w:szCs w:val="20"/>
              </w:rPr>
            </w:pPr>
            <w:r>
              <w:rPr>
                <w:b/>
                <w:sz w:val="20"/>
                <w:szCs w:val="20"/>
              </w:rPr>
              <w:lastRenderedPageBreak/>
              <w:t>Legal and Child Welfare Systems</w:t>
            </w:r>
          </w:p>
        </w:tc>
        <w:tc>
          <w:tcPr>
            <w:tcW w:w="3600" w:type="dxa"/>
          </w:tcPr>
          <w:p w14:paraId="610D8548" w14:textId="40B25CDD" w:rsidR="00370DE5" w:rsidRDefault="00370DE5" w:rsidP="008A043E">
            <w:pPr>
              <w:rPr>
                <w:b/>
                <w:sz w:val="20"/>
                <w:szCs w:val="20"/>
              </w:rPr>
            </w:pPr>
            <w:r>
              <w:rPr>
                <w:b/>
                <w:sz w:val="20"/>
                <w:szCs w:val="20"/>
              </w:rPr>
              <w:t>Custody Concerns</w:t>
            </w:r>
          </w:p>
          <w:p w14:paraId="5EBF15D0" w14:textId="77777777" w:rsidR="00370DE5" w:rsidRDefault="00370DE5" w:rsidP="008A043E">
            <w:pPr>
              <w:spacing w:line="259" w:lineRule="auto"/>
              <w:rPr>
                <w:sz w:val="20"/>
                <w:szCs w:val="20"/>
              </w:rPr>
            </w:pPr>
            <w:r>
              <w:rPr>
                <w:sz w:val="20"/>
                <w:szCs w:val="20"/>
              </w:rPr>
              <w:t>Concerns about legal consequences or child welfare involvement can lead some to seek support and treatment.</w:t>
            </w:r>
          </w:p>
        </w:tc>
      </w:tr>
    </w:tbl>
    <w:p w14:paraId="23EB2CBE" w14:textId="77777777" w:rsidR="00FE3457" w:rsidRDefault="00FE3457" w:rsidP="00FE3457">
      <w:pPr>
        <w:spacing w:after="0"/>
      </w:pPr>
    </w:p>
    <w:p w14:paraId="514B611E" w14:textId="774EC512" w:rsidR="00FE3457" w:rsidRDefault="00FE3457" w:rsidP="00FE3457">
      <w:pPr>
        <w:spacing w:after="0"/>
      </w:pPr>
      <w:r>
        <w:t xml:space="preserve">We want to acknowledge: </w:t>
      </w:r>
    </w:p>
    <w:p w14:paraId="53D9A300" w14:textId="77777777" w:rsidR="00FE3457" w:rsidRDefault="00FE3457" w:rsidP="00FE3457">
      <w:pPr>
        <w:numPr>
          <w:ilvl w:val="0"/>
          <w:numId w:val="3"/>
        </w:numPr>
        <w:pBdr>
          <w:top w:val="nil"/>
          <w:left w:val="nil"/>
          <w:bottom w:val="nil"/>
          <w:right w:val="nil"/>
          <w:between w:val="nil"/>
        </w:pBdr>
        <w:spacing w:after="0"/>
      </w:pPr>
      <w:r>
        <w:rPr>
          <w:color w:val="000000"/>
        </w:rPr>
        <w:t>This is not a comprehensive list of challenges.</w:t>
      </w:r>
    </w:p>
    <w:p w14:paraId="5F4F0E71" w14:textId="77777777" w:rsidR="00FE3457" w:rsidRPr="009C2684" w:rsidRDefault="00FE3457" w:rsidP="00FE3457">
      <w:pPr>
        <w:numPr>
          <w:ilvl w:val="0"/>
          <w:numId w:val="3"/>
        </w:numPr>
        <w:pBdr>
          <w:top w:val="nil"/>
          <w:left w:val="nil"/>
          <w:bottom w:val="nil"/>
          <w:right w:val="nil"/>
          <w:between w:val="nil"/>
        </w:pBdr>
        <w:spacing w:after="0"/>
      </w:pPr>
      <w:r w:rsidRPr="00370DE5">
        <w:rPr>
          <w:color w:val="000000"/>
        </w:rPr>
        <w:t>Not all pregnant and postpartum people face each or any of these challenges.</w:t>
      </w:r>
    </w:p>
    <w:p w14:paraId="70B17BC0" w14:textId="77777777" w:rsidR="009C2684" w:rsidRDefault="009C2684" w:rsidP="009C2684">
      <w:pPr>
        <w:pBdr>
          <w:top w:val="nil"/>
          <w:left w:val="nil"/>
          <w:bottom w:val="nil"/>
          <w:right w:val="nil"/>
          <w:between w:val="nil"/>
        </w:pBdr>
        <w:spacing w:before="120" w:after="0"/>
      </w:pPr>
    </w:p>
    <w:p w14:paraId="17E1ECF0" w14:textId="77777777" w:rsidR="00FE3457" w:rsidRPr="00370DE5" w:rsidRDefault="00FE3457" w:rsidP="009C2684">
      <w:pPr>
        <w:pBdr>
          <w:top w:val="nil"/>
          <w:left w:val="nil"/>
          <w:bottom w:val="nil"/>
          <w:right w:val="nil"/>
          <w:between w:val="nil"/>
        </w:pBdr>
        <w:spacing w:before="120" w:after="0"/>
      </w:pPr>
    </w:p>
    <w:tbl>
      <w:tblPr>
        <w:tblStyle w:val="27"/>
        <w:tblW w:w="93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705"/>
        <w:gridCol w:w="7645"/>
      </w:tblGrid>
      <w:tr w:rsidR="009C2684" w14:paraId="2D3F6101" w14:textId="77777777" w:rsidTr="008A043E">
        <w:tc>
          <w:tcPr>
            <w:tcW w:w="1705" w:type="dxa"/>
            <w:vMerge w:val="restart"/>
            <w:vAlign w:val="center"/>
          </w:tcPr>
          <w:p w14:paraId="6E3CDA09" w14:textId="77777777" w:rsidR="009C2684" w:rsidRDefault="009C2684" w:rsidP="008A043E">
            <w:pPr>
              <w:jc w:val="center"/>
            </w:pPr>
            <w:r>
              <w:rPr>
                <w:noProof/>
              </w:rPr>
              <w:drawing>
                <wp:inline distT="0" distB="0" distL="0" distR="0" wp14:anchorId="19E43338" wp14:editId="628DBC31">
                  <wp:extent cx="723900" cy="723900"/>
                  <wp:effectExtent l="0" t="0" r="0" b="0"/>
                  <wp:docPr id="503271093" name="image1.png" descr="Thought bubble outline"/>
                  <wp:cNvGraphicFramePr/>
                  <a:graphic xmlns:a="http://schemas.openxmlformats.org/drawingml/2006/main">
                    <a:graphicData uri="http://schemas.openxmlformats.org/drawingml/2006/picture">
                      <pic:pic xmlns:pic="http://schemas.openxmlformats.org/drawingml/2006/picture">
                        <pic:nvPicPr>
                          <pic:cNvPr id="0" name="image1.png" descr="Thought bubble outline"/>
                          <pic:cNvPicPr preferRelativeResize="0"/>
                        </pic:nvPicPr>
                        <pic:blipFill>
                          <a:blip r:embed="rId7"/>
                          <a:srcRect/>
                          <a:stretch>
                            <a:fillRect/>
                          </a:stretch>
                        </pic:blipFill>
                        <pic:spPr>
                          <a:xfrm>
                            <a:off x="0" y="0"/>
                            <a:ext cx="723900" cy="723900"/>
                          </a:xfrm>
                          <a:prstGeom prst="rect">
                            <a:avLst/>
                          </a:prstGeom>
                          <a:ln/>
                        </pic:spPr>
                      </pic:pic>
                    </a:graphicData>
                  </a:graphic>
                </wp:inline>
              </w:drawing>
            </w:r>
          </w:p>
        </w:tc>
        <w:tc>
          <w:tcPr>
            <w:tcW w:w="7645" w:type="dxa"/>
            <w:vAlign w:val="center"/>
          </w:tcPr>
          <w:p w14:paraId="2F8570A6" w14:textId="77777777" w:rsidR="009C2684" w:rsidRDefault="009C2684" w:rsidP="008A043E">
            <w:pPr>
              <w:rPr>
                <w:i/>
                <w:color w:val="0F4761"/>
              </w:rPr>
            </w:pPr>
            <w:r>
              <w:rPr>
                <w:i/>
                <w:color w:val="0F4761"/>
              </w:rPr>
              <w:t>Peer Support Reflection</w:t>
            </w:r>
          </w:p>
        </w:tc>
      </w:tr>
      <w:tr w:rsidR="009C2684" w14:paraId="4AB4EC90" w14:textId="77777777" w:rsidTr="008A043E">
        <w:tc>
          <w:tcPr>
            <w:tcW w:w="1705" w:type="dxa"/>
            <w:vMerge/>
            <w:vAlign w:val="center"/>
          </w:tcPr>
          <w:p w14:paraId="73792EE3" w14:textId="77777777" w:rsidR="009C2684" w:rsidRDefault="009C2684" w:rsidP="008A043E">
            <w:pPr>
              <w:widowControl w:val="0"/>
              <w:pBdr>
                <w:top w:val="nil"/>
                <w:left w:val="nil"/>
                <w:bottom w:val="nil"/>
                <w:right w:val="nil"/>
                <w:between w:val="nil"/>
              </w:pBdr>
              <w:spacing w:line="276" w:lineRule="auto"/>
              <w:rPr>
                <w:i/>
                <w:color w:val="0F4761"/>
              </w:rPr>
            </w:pPr>
          </w:p>
        </w:tc>
        <w:tc>
          <w:tcPr>
            <w:tcW w:w="7645" w:type="dxa"/>
          </w:tcPr>
          <w:p w14:paraId="0B08BE44" w14:textId="77777777" w:rsidR="009C2684" w:rsidRDefault="009C2684" w:rsidP="008A043E">
            <w:pPr>
              <w:pStyle w:val="ListParagraph"/>
              <w:numPr>
                <w:ilvl w:val="0"/>
                <w:numId w:val="4"/>
              </w:numPr>
            </w:pPr>
            <w:r>
              <w:t>What factors have you seen in your community that make it difficult for pregnant people to stop using substances, even when they wish to?</w:t>
            </w:r>
          </w:p>
          <w:p w14:paraId="6977FDA8" w14:textId="77777777" w:rsidR="009C2684" w:rsidRDefault="009C2684" w:rsidP="008A043E">
            <w:pPr>
              <w:pStyle w:val="ListParagraph"/>
              <w:numPr>
                <w:ilvl w:val="0"/>
                <w:numId w:val="4"/>
              </w:numPr>
            </w:pPr>
            <w:r>
              <w:t xml:space="preserve">What are some ways that peer support specialists can help to increase a participant’s self-efficacy (i.e., </w:t>
            </w:r>
            <w:r w:rsidRPr="001E45E1">
              <w:t>a person's belief in their ability to complete a task or achieve a goal</w:t>
            </w:r>
            <w:r>
              <w:t>) regarding a healthy pregnancy?</w:t>
            </w:r>
          </w:p>
          <w:p w14:paraId="3B4B16C2" w14:textId="33F70FC0" w:rsidR="009C2684" w:rsidRDefault="00FE3457" w:rsidP="008A043E">
            <w:pPr>
              <w:pStyle w:val="ListParagraph"/>
              <w:numPr>
                <w:ilvl w:val="0"/>
                <w:numId w:val="4"/>
              </w:numPr>
            </w:pPr>
            <w:r>
              <w:t xml:space="preserve">Which of the factors in the previous table do you feel </w:t>
            </w:r>
            <w:proofErr w:type="gramStart"/>
            <w:r>
              <w:t>best</w:t>
            </w:r>
            <w:proofErr w:type="gramEnd"/>
            <w:r>
              <w:t xml:space="preserve"> equipped to help participants address?</w:t>
            </w:r>
          </w:p>
        </w:tc>
      </w:tr>
    </w:tbl>
    <w:p w14:paraId="0F23DF5E" w14:textId="77777777" w:rsidR="009C2684" w:rsidRDefault="009C2684" w:rsidP="00370DE5">
      <w:pPr>
        <w:pBdr>
          <w:top w:val="nil"/>
          <w:left w:val="nil"/>
          <w:bottom w:val="nil"/>
          <w:right w:val="nil"/>
          <w:between w:val="nil"/>
        </w:pBdr>
        <w:spacing w:before="120" w:after="0"/>
      </w:pPr>
    </w:p>
    <w:sectPr w:rsidR="009C26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9234" w14:textId="77777777" w:rsidR="006E7609" w:rsidRDefault="006E7609" w:rsidP="00FE3457">
      <w:pPr>
        <w:spacing w:after="0" w:line="240" w:lineRule="auto"/>
      </w:pPr>
      <w:r>
        <w:separator/>
      </w:r>
    </w:p>
  </w:endnote>
  <w:endnote w:type="continuationSeparator" w:id="0">
    <w:p w14:paraId="33F234FA" w14:textId="77777777" w:rsidR="006E7609" w:rsidRDefault="006E7609" w:rsidP="00FE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13CF" w14:textId="77777777" w:rsidR="006E7609" w:rsidRDefault="006E7609" w:rsidP="00FE3457">
      <w:pPr>
        <w:spacing w:after="0" w:line="240" w:lineRule="auto"/>
      </w:pPr>
      <w:r>
        <w:separator/>
      </w:r>
    </w:p>
  </w:footnote>
  <w:footnote w:type="continuationSeparator" w:id="0">
    <w:p w14:paraId="0302772D" w14:textId="77777777" w:rsidR="006E7609" w:rsidRDefault="006E7609" w:rsidP="00FE3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4545" w14:textId="77777777" w:rsidR="00FB1AB2" w:rsidRPr="00FB1AB2" w:rsidRDefault="00FB1AB2" w:rsidP="00FB1AB2">
    <w:pPr>
      <w:pStyle w:val="Header"/>
      <w:rPr>
        <w:b/>
        <w:bCs/>
      </w:rPr>
    </w:pPr>
    <w:r w:rsidRPr="00FB1AB2">
      <w:rPr>
        <w:b/>
        <w:bCs/>
      </w:rPr>
      <w:t xml:space="preserve">Pregnancy, Postpartum, and Early Parenting: </w:t>
    </w:r>
  </w:p>
  <w:p w14:paraId="6895A16B" w14:textId="07D9322D" w:rsidR="00FE3457" w:rsidRDefault="00FB1AB2" w:rsidP="00FB1AB2">
    <w:pPr>
      <w:pStyle w:val="Header"/>
    </w:pPr>
    <w:r w:rsidRPr="00FB1AB2">
      <w:rPr>
        <w:b/>
        <w:bCs/>
      </w:rPr>
      <w:t>Peer Support for Families Impacted by Substance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AF4"/>
    <w:multiLevelType w:val="hybridMultilevel"/>
    <w:tmpl w:val="18A61886"/>
    <w:lvl w:ilvl="0" w:tplc="7E6EBE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0184A"/>
    <w:multiLevelType w:val="hybridMultilevel"/>
    <w:tmpl w:val="EC96D37C"/>
    <w:lvl w:ilvl="0" w:tplc="7E6EBE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1673"/>
    <w:multiLevelType w:val="multilevel"/>
    <w:tmpl w:val="F93034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40D51D8"/>
    <w:multiLevelType w:val="hybridMultilevel"/>
    <w:tmpl w:val="0EF09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1A0925"/>
    <w:multiLevelType w:val="multilevel"/>
    <w:tmpl w:val="F4BE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56BEB"/>
    <w:multiLevelType w:val="hybridMultilevel"/>
    <w:tmpl w:val="BEBA8BB8"/>
    <w:lvl w:ilvl="0" w:tplc="7E6EBE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A1671A"/>
    <w:multiLevelType w:val="hybridMultilevel"/>
    <w:tmpl w:val="2BFA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CB4BB8"/>
    <w:multiLevelType w:val="hybridMultilevel"/>
    <w:tmpl w:val="4B4E6C30"/>
    <w:lvl w:ilvl="0" w:tplc="D1401804">
      <w:start w:val="1"/>
      <w:numFmt w:val="bullet"/>
      <w:lvlText w:val=""/>
      <w:lvlJc w:val="left"/>
      <w:pPr>
        <w:ind w:left="360" w:hanging="360"/>
      </w:pPr>
      <w:rPr>
        <w:rFonts w:ascii="Symbol" w:hAnsi="Symbol" w:hint="default"/>
        <w:color w:val="156082"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6C7858"/>
    <w:multiLevelType w:val="multilevel"/>
    <w:tmpl w:val="0E2E3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F4BEE"/>
    <w:multiLevelType w:val="hybridMultilevel"/>
    <w:tmpl w:val="6408D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760618"/>
    <w:multiLevelType w:val="hybridMultilevel"/>
    <w:tmpl w:val="D06C3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0438AB"/>
    <w:multiLevelType w:val="hybridMultilevel"/>
    <w:tmpl w:val="81E4A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6056C4"/>
    <w:multiLevelType w:val="hybridMultilevel"/>
    <w:tmpl w:val="B2982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612875"/>
    <w:multiLevelType w:val="hybridMultilevel"/>
    <w:tmpl w:val="8C260D22"/>
    <w:lvl w:ilvl="0" w:tplc="7E6EBE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126666">
    <w:abstractNumId w:val="4"/>
  </w:num>
  <w:num w:numId="2" w16cid:durableId="2116630082">
    <w:abstractNumId w:val="2"/>
  </w:num>
  <w:num w:numId="3" w16cid:durableId="1153571098">
    <w:abstractNumId w:val="8"/>
  </w:num>
  <w:num w:numId="4" w16cid:durableId="257911726">
    <w:abstractNumId w:val="6"/>
  </w:num>
  <w:num w:numId="5" w16cid:durableId="428308924">
    <w:abstractNumId w:val="11"/>
  </w:num>
  <w:num w:numId="6" w16cid:durableId="574825027">
    <w:abstractNumId w:val="3"/>
  </w:num>
  <w:num w:numId="7" w16cid:durableId="1932011861">
    <w:abstractNumId w:val="7"/>
  </w:num>
  <w:num w:numId="8" w16cid:durableId="2105493106">
    <w:abstractNumId w:val="9"/>
  </w:num>
  <w:num w:numId="9" w16cid:durableId="767968256">
    <w:abstractNumId w:val="12"/>
  </w:num>
  <w:num w:numId="10" w16cid:durableId="2058583244">
    <w:abstractNumId w:val="10"/>
  </w:num>
  <w:num w:numId="11" w16cid:durableId="1255673728">
    <w:abstractNumId w:val="5"/>
  </w:num>
  <w:num w:numId="12" w16cid:durableId="1345211553">
    <w:abstractNumId w:val="1"/>
  </w:num>
  <w:num w:numId="13" w16cid:durableId="745109845">
    <w:abstractNumId w:val="13"/>
  </w:num>
  <w:num w:numId="14" w16cid:durableId="84123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DF"/>
    <w:rsid w:val="0009293B"/>
    <w:rsid w:val="0018218A"/>
    <w:rsid w:val="002348A7"/>
    <w:rsid w:val="00261AC5"/>
    <w:rsid w:val="00370DE5"/>
    <w:rsid w:val="00376C63"/>
    <w:rsid w:val="004932B6"/>
    <w:rsid w:val="004B07ED"/>
    <w:rsid w:val="004F230F"/>
    <w:rsid w:val="00566C79"/>
    <w:rsid w:val="0062036B"/>
    <w:rsid w:val="006B1ADF"/>
    <w:rsid w:val="006C01CB"/>
    <w:rsid w:val="006D4995"/>
    <w:rsid w:val="006E7609"/>
    <w:rsid w:val="007857EE"/>
    <w:rsid w:val="007D5707"/>
    <w:rsid w:val="008333E4"/>
    <w:rsid w:val="00872687"/>
    <w:rsid w:val="008C38A4"/>
    <w:rsid w:val="009344D9"/>
    <w:rsid w:val="00943CF8"/>
    <w:rsid w:val="009C2684"/>
    <w:rsid w:val="009E42E9"/>
    <w:rsid w:val="00A2037D"/>
    <w:rsid w:val="00A520C8"/>
    <w:rsid w:val="00C9069D"/>
    <w:rsid w:val="00D4448A"/>
    <w:rsid w:val="00DF0D06"/>
    <w:rsid w:val="00E340E6"/>
    <w:rsid w:val="00E60235"/>
    <w:rsid w:val="00F25423"/>
    <w:rsid w:val="00F7678A"/>
    <w:rsid w:val="00FB1AB2"/>
    <w:rsid w:val="00FE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5593"/>
  <w15:chartTrackingRefBased/>
  <w15:docId w15:val="{3CB9E6CE-D9AC-4DA3-818A-E4E8FBE3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30F"/>
  </w:style>
  <w:style w:type="paragraph" w:styleId="Heading1">
    <w:name w:val="heading 1"/>
    <w:basedOn w:val="Normal"/>
    <w:next w:val="Normal"/>
    <w:link w:val="Heading1Char"/>
    <w:uiPriority w:val="9"/>
    <w:qFormat/>
    <w:rsid w:val="006B1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ADF"/>
    <w:rPr>
      <w:rFonts w:eastAsiaTheme="majorEastAsia" w:cstheme="majorBidi"/>
      <w:color w:val="272727" w:themeColor="text1" w:themeTint="D8"/>
    </w:rPr>
  </w:style>
  <w:style w:type="paragraph" w:styleId="Title">
    <w:name w:val="Title"/>
    <w:basedOn w:val="Normal"/>
    <w:next w:val="Normal"/>
    <w:link w:val="TitleChar"/>
    <w:uiPriority w:val="10"/>
    <w:qFormat/>
    <w:rsid w:val="006B1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ADF"/>
    <w:pPr>
      <w:spacing w:before="160"/>
      <w:jc w:val="center"/>
    </w:pPr>
    <w:rPr>
      <w:i/>
      <w:iCs/>
      <w:color w:val="404040" w:themeColor="text1" w:themeTint="BF"/>
    </w:rPr>
  </w:style>
  <w:style w:type="character" w:customStyle="1" w:styleId="QuoteChar">
    <w:name w:val="Quote Char"/>
    <w:basedOn w:val="DefaultParagraphFont"/>
    <w:link w:val="Quote"/>
    <w:uiPriority w:val="29"/>
    <w:rsid w:val="006B1ADF"/>
    <w:rPr>
      <w:i/>
      <w:iCs/>
      <w:color w:val="404040" w:themeColor="text1" w:themeTint="BF"/>
    </w:rPr>
  </w:style>
  <w:style w:type="paragraph" w:styleId="ListParagraph">
    <w:name w:val="List Paragraph"/>
    <w:basedOn w:val="Normal"/>
    <w:uiPriority w:val="34"/>
    <w:qFormat/>
    <w:rsid w:val="006B1ADF"/>
    <w:pPr>
      <w:ind w:left="720"/>
      <w:contextualSpacing/>
    </w:pPr>
  </w:style>
  <w:style w:type="character" w:styleId="IntenseEmphasis">
    <w:name w:val="Intense Emphasis"/>
    <w:basedOn w:val="DefaultParagraphFont"/>
    <w:uiPriority w:val="21"/>
    <w:qFormat/>
    <w:rsid w:val="006B1ADF"/>
    <w:rPr>
      <w:i/>
      <w:iCs/>
      <w:color w:val="0F4761" w:themeColor="accent1" w:themeShade="BF"/>
    </w:rPr>
  </w:style>
  <w:style w:type="paragraph" w:styleId="IntenseQuote">
    <w:name w:val="Intense Quote"/>
    <w:basedOn w:val="Normal"/>
    <w:next w:val="Normal"/>
    <w:link w:val="IntenseQuoteChar"/>
    <w:uiPriority w:val="30"/>
    <w:qFormat/>
    <w:rsid w:val="006B1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ADF"/>
    <w:rPr>
      <w:i/>
      <w:iCs/>
      <w:color w:val="0F4761" w:themeColor="accent1" w:themeShade="BF"/>
    </w:rPr>
  </w:style>
  <w:style w:type="character" w:styleId="IntenseReference">
    <w:name w:val="Intense Reference"/>
    <w:basedOn w:val="DefaultParagraphFont"/>
    <w:uiPriority w:val="32"/>
    <w:qFormat/>
    <w:rsid w:val="006B1ADF"/>
    <w:rPr>
      <w:b/>
      <w:bCs/>
      <w:smallCaps/>
      <w:color w:val="0F4761" w:themeColor="accent1" w:themeShade="BF"/>
      <w:spacing w:val="5"/>
    </w:rPr>
  </w:style>
  <w:style w:type="table" w:customStyle="1" w:styleId="27">
    <w:name w:val="27"/>
    <w:basedOn w:val="TableNormal"/>
    <w:rsid w:val="00370DE5"/>
    <w:pPr>
      <w:spacing w:after="0" w:line="240" w:lineRule="auto"/>
    </w:pPr>
    <w:rPr>
      <w:rFonts w:ascii="Aptos" w:eastAsia="Aptos" w:hAnsi="Aptos" w:cs="Aptos"/>
      <w:kern w:val="0"/>
      <w:lang w:val="en"/>
      <w14:ligatures w14:val="none"/>
    </w:rPr>
    <w:tblPr>
      <w:tblStyleRowBandSize w:val="1"/>
      <w:tblStyleColBandSize w:val="1"/>
    </w:tblPr>
  </w:style>
  <w:style w:type="table" w:customStyle="1" w:styleId="26">
    <w:name w:val="26"/>
    <w:basedOn w:val="TableNormal"/>
    <w:rsid w:val="00370DE5"/>
    <w:pPr>
      <w:spacing w:after="0" w:line="240" w:lineRule="auto"/>
    </w:pPr>
    <w:rPr>
      <w:rFonts w:ascii="Aptos" w:eastAsia="Aptos" w:hAnsi="Aptos" w:cs="Aptos"/>
      <w:kern w:val="0"/>
      <w:lang w:val="en"/>
      <w14:ligatures w14:val="none"/>
    </w:rPr>
    <w:tblPr>
      <w:tblStyleRowBandSize w:val="1"/>
      <w:tblStyleColBandSize w:val="1"/>
    </w:tblPr>
  </w:style>
  <w:style w:type="paragraph" w:styleId="Header">
    <w:name w:val="header"/>
    <w:basedOn w:val="Normal"/>
    <w:link w:val="HeaderChar"/>
    <w:uiPriority w:val="99"/>
    <w:unhideWhenUsed/>
    <w:rsid w:val="00FE3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457"/>
  </w:style>
  <w:style w:type="paragraph" w:styleId="Footer">
    <w:name w:val="footer"/>
    <w:basedOn w:val="Normal"/>
    <w:link w:val="FooterChar"/>
    <w:uiPriority w:val="99"/>
    <w:unhideWhenUsed/>
    <w:rsid w:val="00FE3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f2f3f00-f616-4e0c-bd73-5cf6b3273204}"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Oak Ridge Associated Universities</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 Betsy</dc:creator>
  <cp:keywords/>
  <dc:description/>
  <cp:lastModifiedBy>Brown, Laurel</cp:lastModifiedBy>
  <cp:revision>4</cp:revision>
  <dcterms:created xsi:type="dcterms:W3CDTF">2025-11-11T20:38:00Z</dcterms:created>
  <dcterms:modified xsi:type="dcterms:W3CDTF">2025-12-08T15:34:00Z</dcterms:modified>
</cp:coreProperties>
</file>