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B3D01" w14:textId="77777777" w:rsidR="002722A8" w:rsidRDefault="00E40CEF">
      <w:pPr>
        <w:spacing w:after="120"/>
        <w:jc w:val="center"/>
      </w:pPr>
      <w:r>
        <w:rPr>
          <w:b/>
          <w:bCs/>
          <w:color w:val="1F4E78"/>
          <w:sz w:val="20"/>
          <w:szCs w:val="20"/>
        </w:rPr>
        <w:t>PEER SUPPORT SPECIALIST FACT SHEET</w:t>
      </w:r>
    </w:p>
    <w:p w14:paraId="53903F61" w14:textId="77777777" w:rsidR="002722A8" w:rsidRDefault="00E40CEF">
      <w:pPr>
        <w:spacing w:after="60"/>
        <w:jc w:val="center"/>
      </w:pPr>
      <w:r>
        <w:rPr>
          <w:b/>
          <w:bCs/>
          <w:color w:val="000000"/>
          <w:sz w:val="28"/>
          <w:szCs w:val="28"/>
        </w:rPr>
        <w:t>Module 1.2: Tools, Ethics, and Boundaries</w:t>
      </w:r>
    </w:p>
    <w:p w14:paraId="5FDC5B48" w14:textId="77777777" w:rsidR="002722A8" w:rsidRDefault="00E40CEF">
      <w:pPr>
        <w:spacing w:after="180"/>
        <w:jc w:val="center"/>
      </w:pPr>
      <w:r>
        <w:rPr>
          <w:i/>
          <w:iCs/>
          <w:color w:val="4472C4"/>
          <w:sz w:val="22"/>
          <w:szCs w:val="22"/>
        </w:rPr>
        <w:t>Course 1: Pregnancy and Substance Use: A Peer's Role</w:t>
      </w:r>
    </w:p>
    <w:p w14:paraId="104938B4" w14:textId="77777777" w:rsidR="00E40CEF" w:rsidRDefault="00E40CEF" w:rsidP="00E40CEF">
      <w:pPr>
        <w:pStyle w:val="Heading1"/>
      </w:pPr>
      <w:r>
        <w:t>Module Summary</w:t>
      </w:r>
    </w:p>
    <w:p w14:paraId="225F3D72" w14:textId="77777777" w:rsidR="00E40CEF" w:rsidRDefault="00E40CEF" w:rsidP="00E40CEF"/>
    <w:p w14:paraId="641107F0" w14:textId="77777777" w:rsidR="00E40CEF" w:rsidRDefault="00E40CEF" w:rsidP="00E40CEF">
      <w:pPr>
        <w:pStyle w:val="Heading2"/>
      </w:pPr>
      <w:r>
        <w:t>Module Purpose</w:t>
      </w:r>
    </w:p>
    <w:p w14:paraId="7C6A6504" w14:textId="77777777" w:rsidR="00E40CEF" w:rsidRDefault="00E40CEF" w:rsidP="00E40CEF">
      <w:r>
        <w:t>As you have moved through this module, we hope it has strengthened your confidence in applying your peer tools, strategies, ethical standards, and boundaries to your work with pregnant and parenting participants.</w:t>
      </w:r>
    </w:p>
    <w:p w14:paraId="305E0B0E" w14:textId="77777777" w:rsidR="00E40CEF" w:rsidRDefault="00E40CEF" w:rsidP="00E40CEF"/>
    <w:p w14:paraId="18B23AB3" w14:textId="77777777" w:rsidR="00E40CEF" w:rsidRDefault="00E40CEF" w:rsidP="00E40CEF">
      <w:pPr>
        <w:pStyle w:val="Heading2"/>
      </w:pPr>
      <w:r>
        <w:t>Key Points</w:t>
      </w:r>
    </w:p>
    <w:p w14:paraId="08829C67" w14:textId="77777777" w:rsidR="00E40CEF" w:rsidRDefault="00E40CEF" w:rsidP="00E40CEF">
      <w:pPr>
        <w:pStyle w:val="ListParagraph"/>
        <w:numPr>
          <w:ilvl w:val="0"/>
          <w:numId w:val="2"/>
        </w:numPr>
        <w:spacing w:after="80"/>
      </w:pPr>
      <w:r>
        <w:t xml:space="preserve">The </w:t>
      </w:r>
      <w:proofErr w:type="gramStart"/>
      <w:r>
        <w:t>supports</w:t>
      </w:r>
      <w:proofErr w:type="gramEnd"/>
      <w:r>
        <w:t xml:space="preserve"> discussed in Module 1.1 (i.e., training, supervision, peer community, self-care) can help you identify and work through ethical dilemmas you may encounter when working with pregnant and postpartum participants.  </w:t>
      </w:r>
    </w:p>
    <w:p w14:paraId="15B6D7D0" w14:textId="77777777" w:rsidR="00E40CEF" w:rsidRDefault="00E40CEF" w:rsidP="00E40CEF">
      <w:pPr>
        <w:pStyle w:val="ListParagraph"/>
        <w:numPr>
          <w:ilvl w:val="0"/>
          <w:numId w:val="2"/>
        </w:numPr>
        <w:spacing w:after="80"/>
      </w:pPr>
      <w:r>
        <w:t>Setting boundaries early and often can protect you and your participants while allowing you to build trust and maintain professional relationships.</w:t>
      </w:r>
    </w:p>
    <w:p w14:paraId="2282097A" w14:textId="77777777" w:rsidR="00E40CEF" w:rsidRDefault="00E40CEF" w:rsidP="00E40CEF">
      <w:pPr>
        <w:pStyle w:val="ListParagraph"/>
        <w:numPr>
          <w:ilvl w:val="0"/>
          <w:numId w:val="2"/>
        </w:numPr>
        <w:spacing w:after="80"/>
      </w:pPr>
      <w:r>
        <w:t xml:space="preserve">You can use the same tools with pregnant and postpartum participants that you use with other participants (e.g., MI, cultural humility); </w:t>
      </w:r>
      <w:r w:rsidRPr="00334E36">
        <w:t>but</w:t>
      </w:r>
      <w:r>
        <w:t xml:space="preserve"> it is helpful to consider how they uniquely apply to pregnant and postpartum participants. </w:t>
      </w:r>
    </w:p>
    <w:p w14:paraId="4058529F" w14:textId="77777777" w:rsidR="00E40CEF" w:rsidRDefault="00E40CEF" w:rsidP="00E40CEF">
      <w:pPr>
        <w:pStyle w:val="ListParagraph"/>
        <w:spacing w:after="80"/>
        <w:ind w:left="720"/>
      </w:pPr>
    </w:p>
    <w:p w14:paraId="71B248A9" w14:textId="77777777" w:rsidR="00E40CEF" w:rsidRDefault="00E40CEF" w:rsidP="00E40CEF">
      <w:pPr>
        <w:pStyle w:val="Heading2"/>
        <w:spacing w:before="120"/>
      </w:pPr>
      <w:r>
        <w:t>Critical Skills for Peers</w:t>
      </w:r>
    </w:p>
    <w:p w14:paraId="5F9A7633" w14:textId="77777777" w:rsidR="00E40CEF" w:rsidRDefault="00E40CEF" w:rsidP="00E40CEF">
      <w:pPr>
        <w:pStyle w:val="ListParagraph"/>
        <w:numPr>
          <w:ilvl w:val="0"/>
          <w:numId w:val="2"/>
        </w:numPr>
        <w:spacing w:after="80"/>
      </w:pPr>
      <w:r>
        <w:t>Using motivational interviewing techniques including open-ended questions, affirmations, reflective listening, and summarizing</w:t>
      </w:r>
    </w:p>
    <w:p w14:paraId="43B577A4" w14:textId="77777777" w:rsidR="00E40CEF" w:rsidRDefault="00E40CEF" w:rsidP="00E40CEF">
      <w:pPr>
        <w:pStyle w:val="ListParagraph"/>
        <w:numPr>
          <w:ilvl w:val="0"/>
          <w:numId w:val="2"/>
        </w:numPr>
        <w:spacing w:after="80"/>
      </w:pPr>
      <w:r>
        <w:t>Practicing cultural humility by recognizing your own biases, power dynamics, and limitations</w:t>
      </w:r>
    </w:p>
    <w:p w14:paraId="23BBA4BF" w14:textId="77777777" w:rsidR="00E40CEF" w:rsidRDefault="00E40CEF" w:rsidP="00E40CEF">
      <w:pPr>
        <w:pStyle w:val="ListParagraph"/>
        <w:numPr>
          <w:ilvl w:val="0"/>
          <w:numId w:val="2"/>
        </w:numPr>
        <w:spacing w:after="80"/>
      </w:pPr>
      <w:r>
        <w:t>Applying trauma-informed principles: safety, trustworthiness, peer support, collaboration, empowerment, and cultural humility</w:t>
      </w:r>
    </w:p>
    <w:p w14:paraId="4F803234" w14:textId="77777777" w:rsidR="00E40CEF" w:rsidRDefault="00E40CEF" w:rsidP="00E40CEF">
      <w:pPr>
        <w:pStyle w:val="ListParagraph"/>
        <w:spacing w:after="80"/>
        <w:ind w:left="720"/>
      </w:pPr>
    </w:p>
    <w:p w14:paraId="70AC08E1" w14:textId="77777777" w:rsidR="00E40CEF" w:rsidRDefault="00E40CEF" w:rsidP="00E40CEF">
      <w:pPr>
        <w:pStyle w:val="Heading2"/>
        <w:spacing w:before="120"/>
      </w:pPr>
      <w:r>
        <w:t>Essential Supports &amp; Resources</w:t>
      </w:r>
    </w:p>
    <w:p w14:paraId="12DD833F" w14:textId="77777777" w:rsidR="00E40CEF" w:rsidRDefault="00E40CEF" w:rsidP="00E40CEF">
      <w:pPr>
        <w:pStyle w:val="ListParagraph"/>
        <w:numPr>
          <w:ilvl w:val="0"/>
          <w:numId w:val="2"/>
        </w:numPr>
        <w:spacing w:after="80"/>
      </w:pPr>
      <w:r>
        <w:t>Code of ethics for peer support (confidentiality, respect, empowerment, boundaries)</w:t>
      </w:r>
    </w:p>
    <w:p w14:paraId="5700C3C1" w14:textId="77777777" w:rsidR="00E40CEF" w:rsidRDefault="00E40CEF" w:rsidP="00E40CEF">
      <w:pPr>
        <w:pStyle w:val="ListParagraph"/>
        <w:numPr>
          <w:ilvl w:val="0"/>
          <w:numId w:val="2"/>
        </w:numPr>
        <w:spacing w:after="80"/>
      </w:pPr>
      <w:r>
        <w:t>Supervision to discuss boundary challenges and ethical dilemmas</w:t>
      </w:r>
    </w:p>
    <w:p w14:paraId="5362A1F9" w14:textId="77777777" w:rsidR="00E40CEF" w:rsidRDefault="00E40CEF" w:rsidP="00E40CEF">
      <w:pPr>
        <w:pStyle w:val="ListParagraph"/>
        <w:numPr>
          <w:ilvl w:val="0"/>
          <w:numId w:val="2"/>
        </w:numPr>
        <w:spacing w:after="80"/>
      </w:pPr>
      <w:r>
        <w:t>Cultural competency training to serve diverse populations effectively</w:t>
      </w:r>
    </w:p>
    <w:p w14:paraId="09ECA5A7" w14:textId="77777777" w:rsidR="00E40CEF" w:rsidRDefault="00E40CEF" w:rsidP="00E40CEF">
      <w:pPr>
        <w:pStyle w:val="ListParagraph"/>
        <w:numPr>
          <w:ilvl w:val="0"/>
          <w:numId w:val="2"/>
        </w:numPr>
        <w:spacing w:after="80"/>
      </w:pPr>
      <w:r>
        <w:t>Trauma-informed organizational practices and policies</w:t>
      </w:r>
    </w:p>
    <w:p w14:paraId="64014608" w14:textId="77777777" w:rsidR="00E40CEF" w:rsidRDefault="00E40CEF" w:rsidP="00E40CEF">
      <w:pPr>
        <w:pStyle w:val="ListParagraph"/>
        <w:spacing w:after="80"/>
        <w:ind w:left="720"/>
      </w:pPr>
    </w:p>
    <w:p w14:paraId="569BA320" w14:textId="77777777" w:rsidR="00E40CEF" w:rsidRDefault="00E40CEF" w:rsidP="00E40CEF">
      <w:pPr>
        <w:pStyle w:val="Heading2"/>
        <w:spacing w:before="120"/>
      </w:pPr>
      <w:r>
        <w:t>Practice Applications</w:t>
      </w:r>
    </w:p>
    <w:p w14:paraId="2BCDE9F4" w14:textId="77777777" w:rsidR="00E40CEF" w:rsidRDefault="00E40CEF" w:rsidP="00E40CEF">
      <w:pPr>
        <w:pStyle w:val="ListParagraph"/>
        <w:numPr>
          <w:ilvl w:val="0"/>
          <w:numId w:val="2"/>
        </w:numPr>
        <w:spacing w:after="80"/>
      </w:pPr>
      <w:r>
        <w:t xml:space="preserve">Set clear boundaries around time, personal information, reporting requirements, contact, and scope of practice. Revisit boundaries with participants regularly. </w:t>
      </w:r>
    </w:p>
    <w:p w14:paraId="1594FBA0" w14:textId="77777777" w:rsidR="00E40CEF" w:rsidRDefault="00E40CEF" w:rsidP="00E40CEF">
      <w:pPr>
        <w:pStyle w:val="ListParagraph"/>
        <w:numPr>
          <w:ilvl w:val="0"/>
          <w:numId w:val="2"/>
        </w:numPr>
        <w:spacing w:after="80"/>
      </w:pPr>
      <w:r>
        <w:t xml:space="preserve">Use the case studies and Handout 1.2.1 from this course to talk about peer ethics and boundaries with your supervisor and coworkers. Thinking about situations that may come up with pregnant and postpartum participants ahead of time can equip you to respond well in the moment. </w:t>
      </w:r>
    </w:p>
    <w:p w14:paraId="29BA3CBF" w14:textId="77777777" w:rsidR="009E14D8" w:rsidRDefault="009E14D8" w:rsidP="009E14D8">
      <w:pPr>
        <w:spacing w:after="80"/>
      </w:pPr>
    </w:p>
    <w:p w14:paraId="637DFDF4" w14:textId="77777777" w:rsidR="009E14D8" w:rsidRDefault="009E14D8" w:rsidP="009E14D8">
      <w:pPr>
        <w:spacing w:after="80"/>
      </w:pPr>
    </w:p>
    <w:p w14:paraId="3A3DBC6C" w14:textId="77777777" w:rsidR="009E14D8" w:rsidRDefault="009E14D8" w:rsidP="009E14D8">
      <w:pPr>
        <w:spacing w:after="80"/>
      </w:pPr>
    </w:p>
    <w:p w14:paraId="5259B810" w14:textId="77777777" w:rsidR="009E14D8" w:rsidRDefault="009E14D8" w:rsidP="009E14D8">
      <w:pPr>
        <w:spacing w:after="80"/>
      </w:pPr>
    </w:p>
    <w:p w14:paraId="6331D50E" w14:textId="7703F224" w:rsidR="009E14D8" w:rsidRDefault="009E14D8" w:rsidP="009E14D8">
      <w:pPr>
        <w:pStyle w:val="Heading2"/>
      </w:pPr>
      <w:r>
        <w:lastRenderedPageBreak/>
        <w:t>Recommended Resources</w:t>
      </w:r>
    </w:p>
    <w:tbl>
      <w:tblPr>
        <w:tblStyle w:val="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E14D8" w14:paraId="75E7CBC2" w14:textId="77777777" w:rsidTr="00200700">
        <w:trPr>
          <w:trHeight w:val="530"/>
        </w:trPr>
        <w:tc>
          <w:tcPr>
            <w:tcW w:w="9350" w:type="dxa"/>
            <w:shd w:val="clear" w:color="auto" w:fill="E8E8E8"/>
            <w:vAlign w:val="center"/>
          </w:tcPr>
          <w:p w14:paraId="7BB550C0" w14:textId="77777777" w:rsidR="009E14D8" w:rsidRDefault="009E14D8" w:rsidP="00200700">
            <w:pPr>
              <w:jc w:val="center"/>
              <w:rPr>
                <w:b/>
              </w:rPr>
            </w:pPr>
            <w:bookmarkStart w:id="0" w:name="_Hlk207967001"/>
            <w:r>
              <w:rPr>
                <w:b/>
              </w:rPr>
              <w:t>Resources for Motivational Interviewing/Motivational Conversations</w:t>
            </w:r>
          </w:p>
        </w:tc>
      </w:tr>
      <w:tr w:rsidR="009E14D8" w14:paraId="2E4F76D0" w14:textId="77777777" w:rsidTr="009E14D8">
        <w:trPr>
          <w:trHeight w:val="602"/>
        </w:trPr>
        <w:tc>
          <w:tcPr>
            <w:tcW w:w="9350" w:type="dxa"/>
            <w:shd w:val="clear" w:color="auto" w:fill="E8E8E8"/>
          </w:tcPr>
          <w:p w14:paraId="5880D4F9" w14:textId="77777777" w:rsidR="009E14D8" w:rsidRPr="009E14D8" w:rsidRDefault="009E14D8" w:rsidP="00200700">
            <w:pPr>
              <w:rPr>
                <w:bCs/>
                <w:sz w:val="22"/>
                <w:szCs w:val="22"/>
              </w:rPr>
            </w:pPr>
            <w:r w:rsidRPr="009E14D8">
              <w:rPr>
                <w:bCs/>
                <w:sz w:val="22"/>
                <w:szCs w:val="22"/>
              </w:rPr>
              <w:t>Behavioral Health Workforce Development (BHWD)</w:t>
            </w:r>
          </w:p>
          <w:p w14:paraId="38B5B78D" w14:textId="6F4EED44" w:rsidR="009E14D8" w:rsidRPr="009E14D8" w:rsidRDefault="009E14D8" w:rsidP="009E14D8">
            <w:pPr>
              <w:rPr>
                <w:bCs/>
                <w:sz w:val="22"/>
                <w:szCs w:val="22"/>
              </w:rPr>
            </w:pPr>
            <w:hyperlink r:id="rId5">
              <w:r w:rsidRPr="009E14D8">
                <w:rPr>
                  <w:bCs/>
                  <w:color w:val="467886"/>
                  <w:sz w:val="22"/>
                  <w:szCs w:val="22"/>
                  <w:u w:val="single"/>
                </w:rPr>
                <w:t>Motivational Interviewing for Peers</w:t>
              </w:r>
            </w:hyperlink>
          </w:p>
        </w:tc>
      </w:tr>
      <w:tr w:rsidR="009E14D8" w14:paraId="73FC8B73" w14:textId="77777777" w:rsidTr="009E14D8">
        <w:trPr>
          <w:trHeight w:val="530"/>
        </w:trPr>
        <w:tc>
          <w:tcPr>
            <w:tcW w:w="9350" w:type="dxa"/>
            <w:shd w:val="clear" w:color="auto" w:fill="E8E8E8"/>
          </w:tcPr>
          <w:p w14:paraId="398DD431" w14:textId="77777777" w:rsidR="009E14D8" w:rsidRPr="009E14D8" w:rsidRDefault="009E14D8" w:rsidP="00200700">
            <w:pPr>
              <w:rPr>
                <w:bCs/>
                <w:sz w:val="22"/>
                <w:szCs w:val="22"/>
              </w:rPr>
            </w:pPr>
            <w:r w:rsidRPr="009E14D8">
              <w:rPr>
                <w:bCs/>
                <w:sz w:val="22"/>
                <w:szCs w:val="22"/>
              </w:rPr>
              <w:t xml:space="preserve">University of Washington, Drug &amp; Alcohol Institute </w:t>
            </w:r>
          </w:p>
          <w:p w14:paraId="02222BF2" w14:textId="5C2C6EF6" w:rsidR="009E14D8" w:rsidRPr="009E14D8" w:rsidRDefault="009E14D8" w:rsidP="009E14D8">
            <w:pPr>
              <w:rPr>
                <w:bCs/>
                <w:sz w:val="22"/>
                <w:szCs w:val="22"/>
              </w:rPr>
            </w:pPr>
            <w:hyperlink r:id="rId6" w:anchor=":~:text=This%20free%20online%20training%20from%20the%20Mid-America%20Addiction,strengthen%20an%20individual%27s%20motivation%20for%20behavior%20change.%20NEW%21">
              <w:r w:rsidRPr="009E14D8">
                <w:rPr>
                  <w:bCs/>
                  <w:color w:val="467886"/>
                  <w:sz w:val="22"/>
                  <w:szCs w:val="22"/>
                  <w:u w:val="single"/>
                </w:rPr>
                <w:t>The Retention Toolkit: Motivational Interviewing</w:t>
              </w:r>
            </w:hyperlink>
          </w:p>
        </w:tc>
      </w:tr>
      <w:tr w:rsidR="009E14D8" w14:paraId="1389DA68" w14:textId="77777777" w:rsidTr="009E14D8">
        <w:trPr>
          <w:trHeight w:val="1250"/>
        </w:trPr>
        <w:tc>
          <w:tcPr>
            <w:tcW w:w="9350" w:type="dxa"/>
            <w:shd w:val="clear" w:color="auto" w:fill="E8E8E8"/>
          </w:tcPr>
          <w:p w14:paraId="3A7E9EE2" w14:textId="77777777" w:rsidR="009E14D8" w:rsidRPr="009E14D8" w:rsidRDefault="009E14D8" w:rsidP="009E14D8">
            <w:pPr>
              <w:rPr>
                <w:bCs/>
                <w:sz w:val="22"/>
                <w:szCs w:val="22"/>
              </w:rPr>
            </w:pPr>
            <w:r w:rsidRPr="009E14D8">
              <w:rPr>
                <w:bCs/>
                <w:sz w:val="22"/>
                <w:szCs w:val="22"/>
              </w:rPr>
              <w:t>NAADAC, the Association for Addiction Professionals</w:t>
            </w:r>
          </w:p>
          <w:p w14:paraId="26A2286F" w14:textId="77777777" w:rsidR="009E14D8" w:rsidRPr="00AF7766" w:rsidRDefault="009E14D8" w:rsidP="00AF7766">
            <w:pPr>
              <w:pStyle w:val="ListParagraph"/>
              <w:numPr>
                <w:ilvl w:val="0"/>
                <w:numId w:val="3"/>
              </w:numPr>
              <w:rPr>
                <w:bCs/>
                <w:sz w:val="22"/>
                <w:szCs w:val="22"/>
              </w:rPr>
            </w:pPr>
            <w:hyperlink r:id="rId7">
              <w:r w:rsidRPr="00AF7766">
                <w:rPr>
                  <w:bCs/>
                  <w:color w:val="467886"/>
                  <w:sz w:val="22"/>
                  <w:szCs w:val="22"/>
                  <w:u w:val="single"/>
                </w:rPr>
                <w:t>Finding Ambivalence and 10 Other Things about MI</w:t>
              </w:r>
            </w:hyperlink>
          </w:p>
          <w:p w14:paraId="3589E4CA" w14:textId="77777777" w:rsidR="009E14D8" w:rsidRPr="00AF7766" w:rsidRDefault="009E14D8" w:rsidP="00AF7766">
            <w:pPr>
              <w:pStyle w:val="ListParagraph"/>
              <w:numPr>
                <w:ilvl w:val="0"/>
                <w:numId w:val="3"/>
              </w:numPr>
              <w:rPr>
                <w:bCs/>
                <w:sz w:val="22"/>
                <w:szCs w:val="22"/>
              </w:rPr>
            </w:pPr>
            <w:hyperlink r:id="rId8">
              <w:r w:rsidRPr="00AF7766">
                <w:rPr>
                  <w:bCs/>
                  <w:color w:val="467886"/>
                  <w:sz w:val="22"/>
                  <w:szCs w:val="22"/>
                  <w:u w:val="single"/>
                </w:rPr>
                <w:t>Ensuring Fidelity to MI Among Frontline Service Providers</w:t>
              </w:r>
            </w:hyperlink>
            <w:r w:rsidRPr="00AF7766">
              <w:rPr>
                <w:bCs/>
                <w:sz w:val="22"/>
                <w:szCs w:val="22"/>
              </w:rPr>
              <w:t xml:space="preserve"> </w:t>
            </w:r>
          </w:p>
          <w:p w14:paraId="52294005" w14:textId="1DDC1F9B" w:rsidR="009E14D8" w:rsidRPr="00AF7766" w:rsidRDefault="009E14D8" w:rsidP="00AF7766">
            <w:pPr>
              <w:pStyle w:val="ListParagraph"/>
              <w:numPr>
                <w:ilvl w:val="0"/>
                <w:numId w:val="3"/>
              </w:numPr>
              <w:rPr>
                <w:bCs/>
                <w:sz w:val="22"/>
                <w:szCs w:val="22"/>
              </w:rPr>
            </w:pPr>
            <w:hyperlink r:id="rId9">
              <w:r w:rsidRPr="00AF7766">
                <w:rPr>
                  <w:bCs/>
                  <w:color w:val="467886"/>
                  <w:sz w:val="22"/>
                  <w:szCs w:val="22"/>
                  <w:u w:val="single"/>
                </w:rPr>
                <w:t>Motivational Interviewing with Criminal Justice Populations</w:t>
              </w:r>
            </w:hyperlink>
          </w:p>
        </w:tc>
      </w:tr>
      <w:tr w:rsidR="009E14D8" w14:paraId="2F9F41D3" w14:textId="77777777" w:rsidTr="009E14D8">
        <w:trPr>
          <w:trHeight w:val="980"/>
        </w:trPr>
        <w:tc>
          <w:tcPr>
            <w:tcW w:w="9350" w:type="dxa"/>
            <w:shd w:val="clear" w:color="auto" w:fill="E8E8E8"/>
          </w:tcPr>
          <w:p w14:paraId="2A8C9269" w14:textId="77777777" w:rsidR="009E14D8" w:rsidRPr="009E14D8" w:rsidRDefault="009E14D8" w:rsidP="009E14D8">
            <w:pPr>
              <w:rPr>
                <w:bCs/>
                <w:sz w:val="22"/>
                <w:szCs w:val="22"/>
              </w:rPr>
            </w:pPr>
            <w:r w:rsidRPr="009E14D8">
              <w:rPr>
                <w:bCs/>
                <w:sz w:val="22"/>
                <w:szCs w:val="22"/>
              </w:rPr>
              <w:t>National Institute on Drug Abuse (NIDA)</w:t>
            </w:r>
          </w:p>
          <w:p w14:paraId="6DD99CAF" w14:textId="77777777" w:rsidR="009E14D8" w:rsidRPr="00AF7766" w:rsidRDefault="009E14D8" w:rsidP="00AF7766">
            <w:pPr>
              <w:pStyle w:val="ListParagraph"/>
              <w:numPr>
                <w:ilvl w:val="0"/>
                <w:numId w:val="4"/>
              </w:numPr>
              <w:rPr>
                <w:bCs/>
                <w:sz w:val="22"/>
                <w:szCs w:val="22"/>
              </w:rPr>
            </w:pPr>
            <w:hyperlink r:id="rId10">
              <w:r w:rsidRPr="00AF7766">
                <w:rPr>
                  <w:bCs/>
                  <w:color w:val="467886"/>
                  <w:sz w:val="22"/>
                  <w:szCs w:val="22"/>
                  <w:u w:val="single"/>
                </w:rPr>
                <w:t>Blending Initiative Motivational Interviewing CME/CE and Patient Simulation</w:t>
              </w:r>
            </w:hyperlink>
          </w:p>
          <w:p w14:paraId="34C61EFB" w14:textId="71A9AFA8" w:rsidR="009E14D8" w:rsidRPr="00AF7766" w:rsidRDefault="009E14D8" w:rsidP="00AF7766">
            <w:pPr>
              <w:pStyle w:val="ListParagraph"/>
              <w:numPr>
                <w:ilvl w:val="0"/>
                <w:numId w:val="4"/>
              </w:numPr>
              <w:rPr>
                <w:bCs/>
                <w:sz w:val="22"/>
                <w:szCs w:val="22"/>
              </w:rPr>
            </w:pPr>
            <w:hyperlink r:id="rId11">
              <w:r w:rsidRPr="00AF7766">
                <w:rPr>
                  <w:bCs/>
                  <w:color w:val="467886"/>
                  <w:sz w:val="22"/>
                  <w:szCs w:val="22"/>
                  <w:u w:val="single"/>
                </w:rPr>
                <w:t>Talking to Patients About Health Risk Behaviors (non-credit) Module</w:t>
              </w:r>
            </w:hyperlink>
          </w:p>
        </w:tc>
      </w:tr>
      <w:tr w:rsidR="009E14D8" w14:paraId="6D8B47A6" w14:textId="77777777" w:rsidTr="009E14D8">
        <w:trPr>
          <w:trHeight w:val="620"/>
        </w:trPr>
        <w:tc>
          <w:tcPr>
            <w:tcW w:w="9350" w:type="dxa"/>
            <w:shd w:val="clear" w:color="auto" w:fill="E8E8E8"/>
          </w:tcPr>
          <w:p w14:paraId="0BAD0FCD" w14:textId="77777777" w:rsidR="009E14D8" w:rsidRPr="009E14D8" w:rsidRDefault="009E14D8" w:rsidP="00200700">
            <w:pPr>
              <w:rPr>
                <w:bCs/>
                <w:sz w:val="22"/>
                <w:szCs w:val="22"/>
              </w:rPr>
            </w:pPr>
            <w:r w:rsidRPr="009E14D8">
              <w:rPr>
                <w:bCs/>
                <w:sz w:val="22"/>
                <w:szCs w:val="22"/>
              </w:rPr>
              <w:t>Substance Abuse and Mental Health Services Administration (SAMHSA)</w:t>
            </w:r>
          </w:p>
          <w:p w14:paraId="0BB3031E" w14:textId="64C6A20A" w:rsidR="009E14D8" w:rsidRPr="009E14D8" w:rsidRDefault="009E14D8" w:rsidP="009E14D8">
            <w:pPr>
              <w:rPr>
                <w:bCs/>
                <w:sz w:val="22"/>
                <w:szCs w:val="22"/>
              </w:rPr>
            </w:pPr>
            <w:hyperlink r:id="rId12">
              <w:r w:rsidRPr="009E14D8">
                <w:rPr>
                  <w:bCs/>
                  <w:color w:val="467886"/>
                  <w:sz w:val="22"/>
                  <w:szCs w:val="22"/>
                  <w:u w:val="single"/>
                </w:rPr>
                <w:t>Using Motivational Interviewing in SUD Treatment</w:t>
              </w:r>
            </w:hyperlink>
          </w:p>
        </w:tc>
      </w:tr>
      <w:tr w:rsidR="009E14D8" w14:paraId="4B63E67A" w14:textId="77777777" w:rsidTr="009E14D8">
        <w:trPr>
          <w:trHeight w:val="620"/>
        </w:trPr>
        <w:tc>
          <w:tcPr>
            <w:tcW w:w="9350" w:type="dxa"/>
            <w:shd w:val="clear" w:color="auto" w:fill="E8E8E8"/>
          </w:tcPr>
          <w:p w14:paraId="13489C86" w14:textId="77777777" w:rsidR="009E14D8" w:rsidRPr="009E14D8" w:rsidRDefault="009E14D8" w:rsidP="00200700">
            <w:pPr>
              <w:rPr>
                <w:bCs/>
                <w:sz w:val="22"/>
                <w:szCs w:val="22"/>
              </w:rPr>
            </w:pPr>
            <w:r w:rsidRPr="009E14D8">
              <w:rPr>
                <w:bCs/>
                <w:sz w:val="22"/>
                <w:szCs w:val="22"/>
              </w:rPr>
              <w:t>Centers for Disease Control and Prevention (CDC)</w:t>
            </w:r>
          </w:p>
          <w:p w14:paraId="798055AE" w14:textId="37257795" w:rsidR="009E14D8" w:rsidRPr="009E14D8" w:rsidRDefault="009E14D8" w:rsidP="009E14D8">
            <w:pPr>
              <w:rPr>
                <w:bCs/>
                <w:sz w:val="22"/>
                <w:szCs w:val="22"/>
              </w:rPr>
            </w:pPr>
            <w:hyperlink r:id="rId13">
              <w:r w:rsidRPr="009E14D8">
                <w:rPr>
                  <w:bCs/>
                  <w:color w:val="467886"/>
                  <w:sz w:val="22"/>
                  <w:szCs w:val="22"/>
                  <w:u w:val="single"/>
                </w:rPr>
                <w:t>Training: Motivational Interviewing</w:t>
              </w:r>
            </w:hyperlink>
          </w:p>
        </w:tc>
      </w:tr>
      <w:bookmarkEnd w:id="0"/>
    </w:tbl>
    <w:p w14:paraId="6002B6F6" w14:textId="77777777" w:rsidR="009E14D8" w:rsidRDefault="009E14D8" w:rsidP="009E14D8">
      <w:pPr>
        <w:spacing w:after="80"/>
      </w:pPr>
    </w:p>
    <w:tbl>
      <w:tblPr>
        <w:tblStyle w:val="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E14D8" w14:paraId="3FE26D86" w14:textId="77777777" w:rsidTr="00200700">
        <w:trPr>
          <w:trHeight w:val="530"/>
        </w:trPr>
        <w:tc>
          <w:tcPr>
            <w:tcW w:w="9350" w:type="dxa"/>
            <w:shd w:val="clear" w:color="auto" w:fill="E8E8E8"/>
            <w:vAlign w:val="center"/>
          </w:tcPr>
          <w:p w14:paraId="19E34BDF" w14:textId="77777777" w:rsidR="009E14D8" w:rsidRDefault="009E14D8" w:rsidP="00200700">
            <w:pPr>
              <w:jc w:val="center"/>
              <w:rPr>
                <w:b/>
              </w:rPr>
            </w:pPr>
            <w:bookmarkStart w:id="1" w:name="_Hlk207967017"/>
            <w:r>
              <w:rPr>
                <w:b/>
              </w:rPr>
              <w:t>Resources for Cultural Humility and Responsiveness</w:t>
            </w:r>
          </w:p>
        </w:tc>
      </w:tr>
      <w:tr w:rsidR="009E14D8" w14:paraId="0C56D5AA" w14:textId="77777777" w:rsidTr="00AF7766">
        <w:trPr>
          <w:trHeight w:val="782"/>
        </w:trPr>
        <w:tc>
          <w:tcPr>
            <w:tcW w:w="9350" w:type="dxa"/>
            <w:shd w:val="clear" w:color="auto" w:fill="E8E8E8"/>
          </w:tcPr>
          <w:p w14:paraId="6C907A67" w14:textId="77777777" w:rsidR="009E14D8" w:rsidRPr="00AF7766" w:rsidRDefault="009E14D8" w:rsidP="00200700">
            <w:pPr>
              <w:rPr>
                <w:bCs/>
                <w:sz w:val="20"/>
                <w:szCs w:val="20"/>
              </w:rPr>
            </w:pPr>
            <w:r w:rsidRPr="00AF7766">
              <w:rPr>
                <w:bCs/>
                <w:sz w:val="20"/>
                <w:szCs w:val="20"/>
              </w:rPr>
              <w:t xml:space="preserve">Northwest Addiction Transfer Technology Center (Northwest ATTC) </w:t>
            </w:r>
          </w:p>
          <w:p w14:paraId="1A74C283" w14:textId="016457C3" w:rsidR="009E14D8" w:rsidRPr="00AF7766" w:rsidRDefault="009E14D8" w:rsidP="00200700">
            <w:pPr>
              <w:rPr>
                <w:bCs/>
                <w:sz w:val="20"/>
                <w:szCs w:val="20"/>
              </w:rPr>
            </w:pPr>
            <w:hyperlink r:id="rId14">
              <w:r w:rsidRPr="00AF7766">
                <w:rPr>
                  <w:bCs/>
                  <w:color w:val="467886"/>
                  <w:sz w:val="20"/>
                  <w:szCs w:val="20"/>
                  <w:u w:val="single"/>
                </w:rPr>
                <w:t>Cultural Humility Primer: Peer Support Specialist and Recovery Coach Guide to Serving and Supporting Diverse Individuals and Their Recovery Journeys</w:t>
              </w:r>
            </w:hyperlink>
            <w:r w:rsidRPr="00AF7766">
              <w:rPr>
                <w:bCs/>
                <w:sz w:val="20"/>
                <w:szCs w:val="20"/>
              </w:rPr>
              <w:t xml:space="preserve"> </w:t>
            </w:r>
          </w:p>
        </w:tc>
      </w:tr>
      <w:tr w:rsidR="009E14D8" w14:paraId="6A701AEB" w14:textId="77777777" w:rsidTr="00200700">
        <w:trPr>
          <w:trHeight w:val="620"/>
        </w:trPr>
        <w:tc>
          <w:tcPr>
            <w:tcW w:w="9350" w:type="dxa"/>
            <w:shd w:val="clear" w:color="auto" w:fill="E8E8E8"/>
          </w:tcPr>
          <w:p w14:paraId="7A4F8577" w14:textId="77777777" w:rsidR="009E14D8" w:rsidRPr="00AF7766" w:rsidRDefault="009E14D8" w:rsidP="00200700">
            <w:pPr>
              <w:rPr>
                <w:bCs/>
                <w:sz w:val="20"/>
                <w:szCs w:val="20"/>
              </w:rPr>
            </w:pPr>
            <w:r w:rsidRPr="00AF7766">
              <w:rPr>
                <w:bCs/>
                <w:sz w:val="20"/>
                <w:szCs w:val="20"/>
              </w:rPr>
              <w:t>Postpartum Support International (PSI)</w:t>
            </w:r>
          </w:p>
          <w:p w14:paraId="7EE320D9" w14:textId="49560977" w:rsidR="009E14D8" w:rsidRPr="00AF7766" w:rsidRDefault="009E14D8" w:rsidP="00200700">
            <w:pPr>
              <w:rPr>
                <w:bCs/>
                <w:sz w:val="20"/>
                <w:szCs w:val="20"/>
              </w:rPr>
            </w:pPr>
            <w:hyperlink r:id="rId15">
              <w:r w:rsidRPr="00AF7766">
                <w:rPr>
                  <w:bCs/>
                  <w:color w:val="467886"/>
                  <w:sz w:val="20"/>
                  <w:szCs w:val="20"/>
                  <w:u w:val="single"/>
                </w:rPr>
                <w:t>Perinatal Mental Health: Culturally Informed Approaches to Screening, Assessment and Treatment</w:t>
              </w:r>
            </w:hyperlink>
          </w:p>
        </w:tc>
      </w:tr>
      <w:tr w:rsidR="009E14D8" w14:paraId="2397973C" w14:textId="77777777" w:rsidTr="00AF7766">
        <w:trPr>
          <w:trHeight w:val="530"/>
        </w:trPr>
        <w:tc>
          <w:tcPr>
            <w:tcW w:w="9350" w:type="dxa"/>
            <w:shd w:val="clear" w:color="auto" w:fill="E8E8E8"/>
          </w:tcPr>
          <w:p w14:paraId="69C58D66" w14:textId="77777777" w:rsidR="009E14D8" w:rsidRPr="00AF7766" w:rsidRDefault="009E14D8" w:rsidP="00200700">
            <w:pPr>
              <w:rPr>
                <w:bCs/>
                <w:sz w:val="20"/>
                <w:szCs w:val="20"/>
              </w:rPr>
            </w:pPr>
            <w:r w:rsidRPr="00AF7766">
              <w:rPr>
                <w:bCs/>
                <w:sz w:val="20"/>
                <w:szCs w:val="20"/>
              </w:rPr>
              <w:t>Understanding American Indian Postpartum Care and Cultural Considerations</w:t>
            </w:r>
          </w:p>
          <w:p w14:paraId="3C79B167" w14:textId="563120D9" w:rsidR="009E14D8" w:rsidRPr="00AF7766" w:rsidRDefault="009E14D8" w:rsidP="00200700">
            <w:pPr>
              <w:rPr>
                <w:bCs/>
                <w:sz w:val="20"/>
                <w:szCs w:val="20"/>
              </w:rPr>
            </w:pPr>
            <w:hyperlink r:id="rId16">
              <w:r w:rsidRPr="00AF7766">
                <w:rPr>
                  <w:bCs/>
                  <w:color w:val="467886"/>
                  <w:sz w:val="20"/>
                  <w:szCs w:val="20"/>
                  <w:u w:val="single"/>
                </w:rPr>
                <w:t>Global Insights: Cultural Expectations and Postpartum Mental Health</w:t>
              </w:r>
            </w:hyperlink>
          </w:p>
        </w:tc>
      </w:tr>
      <w:tr w:rsidR="009E14D8" w14:paraId="1BF57861" w14:textId="77777777" w:rsidTr="00AF7766">
        <w:trPr>
          <w:trHeight w:val="1079"/>
        </w:trPr>
        <w:tc>
          <w:tcPr>
            <w:tcW w:w="9350" w:type="dxa"/>
            <w:shd w:val="clear" w:color="auto" w:fill="E8E8E8"/>
            <w:vAlign w:val="center"/>
          </w:tcPr>
          <w:p w14:paraId="099191F9" w14:textId="77777777" w:rsidR="009E14D8" w:rsidRPr="00AF7766" w:rsidRDefault="009E14D8" w:rsidP="00200700">
            <w:pPr>
              <w:rPr>
                <w:bCs/>
                <w:sz w:val="20"/>
                <w:szCs w:val="20"/>
              </w:rPr>
            </w:pPr>
            <w:proofErr w:type="spellStart"/>
            <w:r w:rsidRPr="00AF7766">
              <w:rPr>
                <w:bCs/>
                <w:sz w:val="20"/>
                <w:szCs w:val="20"/>
              </w:rPr>
              <w:t>CareOregon</w:t>
            </w:r>
            <w:proofErr w:type="spellEnd"/>
          </w:p>
          <w:p w14:paraId="1B304369" w14:textId="77777777" w:rsidR="009E14D8" w:rsidRPr="00AF7766" w:rsidRDefault="009E14D8" w:rsidP="00AF7766">
            <w:pPr>
              <w:pStyle w:val="ListParagraph"/>
              <w:numPr>
                <w:ilvl w:val="0"/>
                <w:numId w:val="5"/>
              </w:numPr>
              <w:ind w:left="360"/>
              <w:rPr>
                <w:bCs/>
                <w:sz w:val="20"/>
                <w:szCs w:val="20"/>
              </w:rPr>
            </w:pPr>
            <w:hyperlink r:id="rId17" w:history="1">
              <w:r w:rsidRPr="00AF7766">
                <w:rPr>
                  <w:rStyle w:val="Hyperlink"/>
                  <w:bCs/>
                  <w:sz w:val="20"/>
                  <w:szCs w:val="20"/>
                </w:rPr>
                <w:t>Cultural Considerations in the Native American/Alaskan Native Community During the Perinatal Period</w:t>
              </w:r>
            </w:hyperlink>
          </w:p>
          <w:p w14:paraId="2596E4AB" w14:textId="77777777" w:rsidR="00AF7766" w:rsidRPr="00AF7766" w:rsidRDefault="00AF7766" w:rsidP="00AF7766">
            <w:pPr>
              <w:pStyle w:val="ListParagraph"/>
              <w:numPr>
                <w:ilvl w:val="0"/>
                <w:numId w:val="5"/>
              </w:numPr>
              <w:ind w:left="360"/>
              <w:rPr>
                <w:rStyle w:val="Hyperlink"/>
                <w:bCs/>
                <w:sz w:val="20"/>
                <w:szCs w:val="20"/>
              </w:rPr>
            </w:pPr>
            <w:r w:rsidRPr="00AF7766">
              <w:rPr>
                <w:bCs/>
                <w:sz w:val="20"/>
                <w:szCs w:val="20"/>
              </w:rPr>
              <w:fldChar w:fldCharType="begin"/>
            </w:r>
            <w:r w:rsidRPr="00AF7766">
              <w:rPr>
                <w:bCs/>
                <w:sz w:val="20"/>
                <w:szCs w:val="20"/>
              </w:rPr>
              <w:instrText>HYPERLINK "https://www.youtube.com/watch?v=mIinvww3NfI"</w:instrText>
            </w:r>
            <w:r w:rsidRPr="00AF7766">
              <w:rPr>
                <w:bCs/>
                <w:sz w:val="20"/>
                <w:szCs w:val="20"/>
              </w:rPr>
              <w:fldChar w:fldCharType="separate"/>
            </w:r>
            <w:r w:rsidRPr="00AF7766">
              <w:rPr>
                <w:rStyle w:val="Hyperlink"/>
                <w:bCs/>
                <w:sz w:val="20"/>
                <w:szCs w:val="20"/>
              </w:rPr>
              <w:t>Cultural Considerations in the Latinx Community During the Perinatal Period</w:t>
            </w:r>
          </w:p>
          <w:p w14:paraId="10CCCD87" w14:textId="28CF3F93" w:rsidR="00AF7766" w:rsidRPr="00AF7766" w:rsidDel="00707B2B" w:rsidRDefault="00AF7766" w:rsidP="00AF7766">
            <w:pPr>
              <w:rPr>
                <w:bCs/>
                <w:sz w:val="20"/>
                <w:szCs w:val="20"/>
              </w:rPr>
            </w:pPr>
            <w:r w:rsidRPr="00AF7766">
              <w:rPr>
                <w:bCs/>
                <w:sz w:val="20"/>
                <w:szCs w:val="20"/>
              </w:rPr>
              <w:fldChar w:fldCharType="end"/>
            </w:r>
          </w:p>
        </w:tc>
      </w:tr>
      <w:bookmarkEnd w:id="1"/>
    </w:tbl>
    <w:p w14:paraId="35663B4D" w14:textId="77777777" w:rsidR="00E40CEF" w:rsidRDefault="00E40CEF" w:rsidP="00E40CEF">
      <w:pPr>
        <w:pStyle w:val="ListParagraph"/>
        <w:spacing w:after="80"/>
        <w:ind w:left="720"/>
      </w:pPr>
    </w:p>
    <w:tbl>
      <w:tblPr>
        <w:tblStyle w:val="1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AF7766" w14:paraId="55E455A7" w14:textId="77777777" w:rsidTr="00200700">
        <w:trPr>
          <w:trHeight w:val="530"/>
        </w:trPr>
        <w:tc>
          <w:tcPr>
            <w:tcW w:w="9350" w:type="dxa"/>
            <w:shd w:val="clear" w:color="auto" w:fill="E8E8E8"/>
            <w:vAlign w:val="center"/>
          </w:tcPr>
          <w:p w14:paraId="2E6E3B43" w14:textId="77777777" w:rsidR="00AF7766" w:rsidRDefault="00AF7766" w:rsidP="00200700">
            <w:pPr>
              <w:jc w:val="center"/>
              <w:rPr>
                <w:b/>
              </w:rPr>
            </w:pPr>
            <w:r>
              <w:rPr>
                <w:b/>
              </w:rPr>
              <w:t>Resources for Trauma-Informed Practice</w:t>
            </w:r>
          </w:p>
        </w:tc>
      </w:tr>
      <w:tr w:rsidR="00AF7766" w14:paraId="44AF7C6E" w14:textId="77777777" w:rsidTr="00AF7766">
        <w:trPr>
          <w:trHeight w:val="620"/>
        </w:trPr>
        <w:tc>
          <w:tcPr>
            <w:tcW w:w="9350" w:type="dxa"/>
            <w:shd w:val="clear" w:color="auto" w:fill="E8E8E8"/>
          </w:tcPr>
          <w:p w14:paraId="33B6B91E" w14:textId="77777777" w:rsidR="00AF7766" w:rsidRPr="00AF7766" w:rsidRDefault="00AF7766" w:rsidP="00200700">
            <w:pPr>
              <w:rPr>
                <w:bCs/>
                <w:sz w:val="20"/>
                <w:szCs w:val="20"/>
              </w:rPr>
            </w:pPr>
            <w:r w:rsidRPr="00AF7766">
              <w:rPr>
                <w:bCs/>
                <w:sz w:val="20"/>
                <w:szCs w:val="20"/>
              </w:rPr>
              <w:t xml:space="preserve">Behavioral Health Workforce Development </w:t>
            </w:r>
          </w:p>
          <w:p w14:paraId="085F2232" w14:textId="5B213CE8" w:rsidR="00AF7766" w:rsidRPr="00AF7766" w:rsidRDefault="00AF7766" w:rsidP="00200700">
            <w:pPr>
              <w:rPr>
                <w:bCs/>
                <w:sz w:val="20"/>
                <w:szCs w:val="20"/>
              </w:rPr>
            </w:pPr>
            <w:hyperlink r:id="rId18">
              <w:r w:rsidRPr="00AF7766">
                <w:rPr>
                  <w:bCs/>
                  <w:color w:val="467886"/>
                  <w:sz w:val="20"/>
                  <w:szCs w:val="20"/>
                  <w:u w:val="single"/>
                </w:rPr>
                <w:t>Trauma-Informed Peer Support</w:t>
              </w:r>
            </w:hyperlink>
          </w:p>
        </w:tc>
      </w:tr>
      <w:tr w:rsidR="00AF7766" w14:paraId="02CD9DD4" w14:textId="77777777" w:rsidTr="00AF7766">
        <w:trPr>
          <w:trHeight w:val="629"/>
        </w:trPr>
        <w:tc>
          <w:tcPr>
            <w:tcW w:w="9350" w:type="dxa"/>
            <w:shd w:val="clear" w:color="auto" w:fill="E8E8E8"/>
          </w:tcPr>
          <w:p w14:paraId="1B455E81" w14:textId="77777777" w:rsidR="00AF7766" w:rsidRPr="00AF7766" w:rsidRDefault="00AF7766" w:rsidP="00200700">
            <w:pPr>
              <w:rPr>
                <w:bCs/>
                <w:sz w:val="20"/>
                <w:szCs w:val="20"/>
              </w:rPr>
            </w:pPr>
            <w:r w:rsidRPr="00AF7766">
              <w:rPr>
                <w:bCs/>
                <w:sz w:val="20"/>
                <w:szCs w:val="20"/>
              </w:rPr>
              <w:t>National Center for Trauma-Informed Care</w:t>
            </w:r>
          </w:p>
          <w:p w14:paraId="39C983AF" w14:textId="1FB88080" w:rsidR="00AF7766" w:rsidRPr="00AF7766" w:rsidRDefault="00AF7766" w:rsidP="00AF7766">
            <w:pPr>
              <w:rPr>
                <w:bCs/>
                <w:sz w:val="20"/>
                <w:szCs w:val="20"/>
              </w:rPr>
            </w:pPr>
            <w:hyperlink r:id="rId19">
              <w:r w:rsidRPr="00AF7766">
                <w:rPr>
                  <w:bCs/>
                  <w:color w:val="467886"/>
                  <w:sz w:val="20"/>
                  <w:szCs w:val="20"/>
                  <w:u w:val="single"/>
                </w:rPr>
                <w:t>Engaging Women in Trauma-Informed Peer Support: A Guidebook</w:t>
              </w:r>
            </w:hyperlink>
          </w:p>
        </w:tc>
      </w:tr>
      <w:tr w:rsidR="00AF7766" w14:paraId="6BFEA94D" w14:textId="77777777" w:rsidTr="00AF7766">
        <w:trPr>
          <w:trHeight w:val="791"/>
        </w:trPr>
        <w:tc>
          <w:tcPr>
            <w:tcW w:w="9350" w:type="dxa"/>
            <w:shd w:val="clear" w:color="auto" w:fill="E8E8E8"/>
          </w:tcPr>
          <w:p w14:paraId="252C8BE9" w14:textId="77777777" w:rsidR="00AF7766" w:rsidRPr="00AF7766" w:rsidRDefault="00AF7766" w:rsidP="00200700">
            <w:pPr>
              <w:rPr>
                <w:bCs/>
                <w:sz w:val="20"/>
                <w:szCs w:val="20"/>
              </w:rPr>
            </w:pPr>
            <w:r w:rsidRPr="00AF7766">
              <w:rPr>
                <w:bCs/>
                <w:sz w:val="20"/>
                <w:szCs w:val="20"/>
              </w:rPr>
              <w:t>NAADAC, the Association for Addiction Professionals</w:t>
            </w:r>
          </w:p>
          <w:p w14:paraId="45F2378B" w14:textId="04266F78" w:rsidR="00AF7766" w:rsidRPr="00AF7766" w:rsidRDefault="00AF7766" w:rsidP="00200700">
            <w:pPr>
              <w:rPr>
                <w:bCs/>
                <w:sz w:val="20"/>
                <w:szCs w:val="20"/>
              </w:rPr>
            </w:pPr>
            <w:hyperlink r:id="rId20">
              <w:r w:rsidRPr="00AF7766">
                <w:rPr>
                  <w:bCs/>
                  <w:color w:val="467886"/>
                  <w:sz w:val="20"/>
                  <w:szCs w:val="20"/>
                  <w:u w:val="single"/>
                </w:rPr>
                <w:t>Trauma-Informed Relapse Prevention</w:t>
              </w:r>
            </w:hyperlink>
          </w:p>
          <w:p w14:paraId="3C56E0E6" w14:textId="4F36B558" w:rsidR="00AF7766" w:rsidRPr="00AF7766" w:rsidRDefault="00AF7766" w:rsidP="00200700">
            <w:pPr>
              <w:rPr>
                <w:bCs/>
                <w:sz w:val="20"/>
                <w:szCs w:val="20"/>
              </w:rPr>
            </w:pPr>
            <w:hyperlink r:id="rId21">
              <w:r w:rsidRPr="00AF7766">
                <w:rPr>
                  <w:bCs/>
                  <w:color w:val="467886"/>
                  <w:sz w:val="20"/>
                  <w:szCs w:val="20"/>
                  <w:u w:val="single"/>
                </w:rPr>
                <w:t>Gender Responsive Trauma-Informed Care: The First 72 Hours</w:t>
              </w:r>
            </w:hyperlink>
          </w:p>
        </w:tc>
      </w:tr>
    </w:tbl>
    <w:p w14:paraId="161E6960" w14:textId="77777777" w:rsidR="00AF7766" w:rsidRDefault="00AF7766" w:rsidP="00E40CEF">
      <w:pPr>
        <w:pStyle w:val="ListParagraph"/>
        <w:spacing w:after="80"/>
        <w:ind w:left="720"/>
      </w:pPr>
    </w:p>
    <w:tbl>
      <w:tblPr>
        <w:tblStyle w:val="2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AF7766" w14:paraId="08C92D4C" w14:textId="77777777" w:rsidTr="00200700">
        <w:trPr>
          <w:trHeight w:val="593"/>
        </w:trPr>
        <w:tc>
          <w:tcPr>
            <w:tcW w:w="9350" w:type="dxa"/>
            <w:shd w:val="clear" w:color="auto" w:fill="E8E8E8"/>
          </w:tcPr>
          <w:p w14:paraId="49421FC2" w14:textId="77777777" w:rsidR="00AF7766" w:rsidRDefault="00AF7766" w:rsidP="00200700">
            <w:pPr>
              <w:spacing w:before="120" w:after="120"/>
              <w:jc w:val="center"/>
              <w:rPr>
                <w:b/>
              </w:rPr>
            </w:pPr>
            <w:r>
              <w:rPr>
                <w:b/>
              </w:rPr>
              <w:t>Dedicated Training Resources on Stigma</w:t>
            </w:r>
          </w:p>
        </w:tc>
      </w:tr>
      <w:tr w:rsidR="00AF7766" w14:paraId="3646CFDD" w14:textId="77777777" w:rsidTr="00AF7766">
        <w:trPr>
          <w:trHeight w:val="557"/>
        </w:trPr>
        <w:tc>
          <w:tcPr>
            <w:tcW w:w="9350" w:type="dxa"/>
            <w:shd w:val="clear" w:color="auto" w:fill="E8E8E8"/>
          </w:tcPr>
          <w:p w14:paraId="28DB6B97" w14:textId="77777777" w:rsidR="00AF7766" w:rsidRPr="00AF7766" w:rsidRDefault="00AF7766" w:rsidP="00200700">
            <w:pPr>
              <w:rPr>
                <w:bCs/>
                <w:sz w:val="20"/>
                <w:szCs w:val="20"/>
              </w:rPr>
            </w:pPr>
            <w:r w:rsidRPr="00AF7766">
              <w:rPr>
                <w:bCs/>
                <w:sz w:val="20"/>
                <w:szCs w:val="20"/>
              </w:rPr>
              <w:t>Substance Abuse and Mental Health Services Administration (SAMHSA)</w:t>
            </w:r>
          </w:p>
          <w:p w14:paraId="21C8FAB6" w14:textId="4A032425" w:rsidR="00AF7766" w:rsidRPr="00AF7766" w:rsidRDefault="00AF7766" w:rsidP="00200700">
            <w:pPr>
              <w:rPr>
                <w:bCs/>
                <w:sz w:val="20"/>
                <w:szCs w:val="20"/>
              </w:rPr>
            </w:pPr>
            <w:hyperlink r:id="rId22">
              <w:r w:rsidRPr="00AF7766">
                <w:rPr>
                  <w:bCs/>
                  <w:color w:val="467886"/>
                  <w:sz w:val="20"/>
                  <w:szCs w:val="20"/>
                  <w:u w:val="single"/>
                </w:rPr>
                <w:t>The Stigma is Real: Pregnant and Parenting Women with Substance Use Disorders</w:t>
              </w:r>
            </w:hyperlink>
          </w:p>
        </w:tc>
      </w:tr>
      <w:tr w:rsidR="00AF7766" w14:paraId="64DAA1D3" w14:textId="77777777" w:rsidTr="00AF7766">
        <w:trPr>
          <w:trHeight w:val="710"/>
        </w:trPr>
        <w:tc>
          <w:tcPr>
            <w:tcW w:w="9350" w:type="dxa"/>
            <w:shd w:val="clear" w:color="auto" w:fill="E8E8E8"/>
          </w:tcPr>
          <w:p w14:paraId="55A13085" w14:textId="77777777" w:rsidR="00AF7766" w:rsidRPr="00AF7766" w:rsidRDefault="00AF7766" w:rsidP="00200700">
            <w:pPr>
              <w:rPr>
                <w:bCs/>
                <w:sz w:val="20"/>
                <w:szCs w:val="20"/>
              </w:rPr>
            </w:pPr>
            <w:r w:rsidRPr="00AF7766">
              <w:rPr>
                <w:bCs/>
                <w:sz w:val="20"/>
                <w:szCs w:val="20"/>
              </w:rPr>
              <w:t>National Center on Substance Abuse and Child Welfare</w:t>
            </w:r>
          </w:p>
          <w:p w14:paraId="5EE3D120" w14:textId="4CD60824" w:rsidR="00AF7766" w:rsidRPr="00AF7766" w:rsidRDefault="00AF7766" w:rsidP="00200700">
            <w:pPr>
              <w:rPr>
                <w:bCs/>
                <w:sz w:val="20"/>
                <w:szCs w:val="20"/>
              </w:rPr>
            </w:pPr>
            <w:hyperlink r:id="rId23">
              <w:r w:rsidRPr="00AF7766">
                <w:rPr>
                  <w:bCs/>
                  <w:color w:val="467886"/>
                  <w:sz w:val="20"/>
                  <w:szCs w:val="20"/>
                  <w:u w:val="single"/>
                </w:rPr>
                <w:t>Disrupting Stigma: How Understanding, Empathy, and Connection Can Improve Outcomes for Families Affected by Substance Use and Mental Disorders</w:t>
              </w:r>
            </w:hyperlink>
          </w:p>
        </w:tc>
      </w:tr>
      <w:tr w:rsidR="00AF7766" w14:paraId="68E0397E" w14:textId="77777777" w:rsidTr="00AF7766">
        <w:trPr>
          <w:trHeight w:val="746"/>
        </w:trPr>
        <w:tc>
          <w:tcPr>
            <w:tcW w:w="9350" w:type="dxa"/>
            <w:shd w:val="clear" w:color="auto" w:fill="E8E8E8"/>
          </w:tcPr>
          <w:p w14:paraId="327EF664" w14:textId="77777777" w:rsidR="00AF7766" w:rsidRPr="00AF7766" w:rsidRDefault="00AF7766" w:rsidP="00200700">
            <w:pPr>
              <w:rPr>
                <w:bCs/>
                <w:sz w:val="20"/>
                <w:szCs w:val="20"/>
              </w:rPr>
            </w:pPr>
            <w:r w:rsidRPr="00AF7766">
              <w:rPr>
                <w:bCs/>
                <w:sz w:val="20"/>
                <w:szCs w:val="20"/>
              </w:rPr>
              <w:lastRenderedPageBreak/>
              <w:t xml:space="preserve">NIH National Institute on Drug Abuse </w:t>
            </w:r>
          </w:p>
          <w:p w14:paraId="0110497F" w14:textId="0069E3F7" w:rsidR="00AF7766" w:rsidRPr="00AF7766" w:rsidRDefault="00AF7766" w:rsidP="00200700">
            <w:pPr>
              <w:rPr>
                <w:bCs/>
                <w:sz w:val="20"/>
                <w:szCs w:val="20"/>
              </w:rPr>
            </w:pPr>
            <w:hyperlink r:id="rId24">
              <w:r w:rsidRPr="00AF7766">
                <w:rPr>
                  <w:bCs/>
                  <w:color w:val="467886"/>
                  <w:sz w:val="20"/>
                  <w:szCs w:val="20"/>
                  <w:u w:val="single"/>
                </w:rPr>
                <w:t>Your Words Matter – Language Showing Compassion and Care for Women, Infants, Families, and Communities Impacted by Substance Use Disorder</w:t>
              </w:r>
            </w:hyperlink>
          </w:p>
        </w:tc>
      </w:tr>
      <w:tr w:rsidR="00AF7766" w14:paraId="05F076F7" w14:textId="77777777" w:rsidTr="00AF7766">
        <w:trPr>
          <w:trHeight w:val="575"/>
        </w:trPr>
        <w:tc>
          <w:tcPr>
            <w:tcW w:w="9350" w:type="dxa"/>
            <w:shd w:val="clear" w:color="auto" w:fill="E8E8E8"/>
          </w:tcPr>
          <w:p w14:paraId="7D0A84FE" w14:textId="77777777" w:rsidR="00AF7766" w:rsidRPr="00AF7766" w:rsidRDefault="00AF7766" w:rsidP="00200700">
            <w:pPr>
              <w:rPr>
                <w:bCs/>
                <w:sz w:val="20"/>
                <w:szCs w:val="20"/>
              </w:rPr>
            </w:pPr>
            <w:r w:rsidRPr="00AF7766">
              <w:rPr>
                <w:bCs/>
                <w:sz w:val="20"/>
                <w:szCs w:val="20"/>
              </w:rPr>
              <w:t>March of Dimes</w:t>
            </w:r>
          </w:p>
          <w:p w14:paraId="7AD62FB0" w14:textId="5E1AEE85" w:rsidR="00AF7766" w:rsidRPr="00AF7766" w:rsidRDefault="00AF7766" w:rsidP="00200700">
            <w:pPr>
              <w:rPr>
                <w:bCs/>
                <w:sz w:val="20"/>
                <w:szCs w:val="20"/>
              </w:rPr>
            </w:pPr>
            <w:hyperlink r:id="rId25">
              <w:r w:rsidRPr="00AF7766">
                <w:rPr>
                  <w:bCs/>
                  <w:color w:val="467886"/>
                  <w:sz w:val="20"/>
                  <w:szCs w:val="20"/>
                  <w:u w:val="single"/>
                </w:rPr>
                <w:t>Beyond Labels: Do Your Part to Reduce Stigma</w:t>
              </w:r>
            </w:hyperlink>
          </w:p>
        </w:tc>
      </w:tr>
    </w:tbl>
    <w:p w14:paraId="1E51F574" w14:textId="77777777" w:rsidR="00AF7766" w:rsidRDefault="00AF7766" w:rsidP="00E40CEF">
      <w:pPr>
        <w:pStyle w:val="ListParagraph"/>
        <w:spacing w:after="80"/>
        <w:ind w:left="720"/>
      </w:pPr>
    </w:p>
    <w:p w14:paraId="152FDEAE" w14:textId="77777777" w:rsidR="002722A8" w:rsidRDefault="00E40CEF">
      <w:pPr>
        <w:pBdr>
          <w:top w:val="single" w:sz="6" w:space="1" w:color="1F4E78"/>
        </w:pBdr>
        <w:spacing w:before="240"/>
      </w:pPr>
      <w:r>
        <w:rPr>
          <w:i/>
          <w:iCs/>
          <w:color w:val="666666"/>
          <w:sz w:val="18"/>
          <w:szCs w:val="18"/>
        </w:rPr>
        <w:t>Quick Reference Guide for Peer Support Practice</w:t>
      </w:r>
    </w:p>
    <w:sectPr w:rsidR="002722A8">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B4338"/>
    <w:multiLevelType w:val="hybridMultilevel"/>
    <w:tmpl w:val="DED4F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8A15A4"/>
    <w:multiLevelType w:val="hybridMultilevel"/>
    <w:tmpl w:val="BD2E0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11A65E2"/>
    <w:multiLevelType w:val="hybridMultilevel"/>
    <w:tmpl w:val="9952785A"/>
    <w:lvl w:ilvl="0" w:tplc="7F2C4A52">
      <w:start w:val="1"/>
      <w:numFmt w:val="bullet"/>
      <w:lvlText w:val="●"/>
      <w:lvlJc w:val="left"/>
      <w:pPr>
        <w:ind w:left="720" w:hanging="360"/>
      </w:pPr>
    </w:lvl>
    <w:lvl w:ilvl="1" w:tplc="B11E7F96">
      <w:start w:val="1"/>
      <w:numFmt w:val="bullet"/>
      <w:lvlText w:val="○"/>
      <w:lvlJc w:val="left"/>
      <w:pPr>
        <w:ind w:left="1440" w:hanging="360"/>
      </w:pPr>
    </w:lvl>
    <w:lvl w:ilvl="2" w:tplc="0AC47A32">
      <w:start w:val="1"/>
      <w:numFmt w:val="bullet"/>
      <w:lvlText w:val="■"/>
      <w:lvlJc w:val="left"/>
      <w:pPr>
        <w:ind w:left="2160" w:hanging="360"/>
      </w:pPr>
    </w:lvl>
    <w:lvl w:ilvl="3" w:tplc="5CE2E544">
      <w:start w:val="1"/>
      <w:numFmt w:val="bullet"/>
      <w:lvlText w:val="●"/>
      <w:lvlJc w:val="left"/>
      <w:pPr>
        <w:ind w:left="2880" w:hanging="360"/>
      </w:pPr>
    </w:lvl>
    <w:lvl w:ilvl="4" w:tplc="E2EC39A8">
      <w:start w:val="1"/>
      <w:numFmt w:val="bullet"/>
      <w:lvlText w:val="○"/>
      <w:lvlJc w:val="left"/>
      <w:pPr>
        <w:ind w:left="3600" w:hanging="360"/>
      </w:pPr>
    </w:lvl>
    <w:lvl w:ilvl="5" w:tplc="403EEC8C">
      <w:start w:val="1"/>
      <w:numFmt w:val="bullet"/>
      <w:lvlText w:val="■"/>
      <w:lvlJc w:val="left"/>
      <w:pPr>
        <w:ind w:left="4320" w:hanging="360"/>
      </w:pPr>
    </w:lvl>
    <w:lvl w:ilvl="6" w:tplc="7C042648">
      <w:start w:val="1"/>
      <w:numFmt w:val="bullet"/>
      <w:lvlText w:val="●"/>
      <w:lvlJc w:val="left"/>
      <w:pPr>
        <w:ind w:left="5040" w:hanging="360"/>
      </w:pPr>
    </w:lvl>
    <w:lvl w:ilvl="7" w:tplc="F3384BC8">
      <w:start w:val="1"/>
      <w:numFmt w:val="bullet"/>
      <w:lvlText w:val="●"/>
      <w:lvlJc w:val="left"/>
      <w:pPr>
        <w:ind w:left="5760" w:hanging="360"/>
      </w:pPr>
    </w:lvl>
    <w:lvl w:ilvl="8" w:tplc="B3B6D140">
      <w:start w:val="1"/>
      <w:numFmt w:val="bullet"/>
      <w:lvlText w:val="●"/>
      <w:lvlJc w:val="left"/>
      <w:pPr>
        <w:ind w:left="6480" w:hanging="360"/>
      </w:pPr>
    </w:lvl>
  </w:abstractNum>
  <w:abstractNum w:abstractNumId="3" w15:restartNumberingAfterBreak="0">
    <w:nsid w:val="475F51A8"/>
    <w:multiLevelType w:val="hybridMultilevel"/>
    <w:tmpl w:val="C1F099FA"/>
    <w:lvl w:ilvl="0" w:tplc="86084B0E">
      <w:start w:val="1"/>
      <w:numFmt w:val="bullet"/>
      <w:lvlText w:val="•"/>
      <w:lvlJc w:val="left"/>
      <w:pPr>
        <w:ind w:left="720" w:hanging="360"/>
      </w:pPr>
    </w:lvl>
    <w:lvl w:ilvl="1" w:tplc="BB6E153A">
      <w:numFmt w:val="decimal"/>
      <w:lvlText w:val=""/>
      <w:lvlJc w:val="left"/>
    </w:lvl>
    <w:lvl w:ilvl="2" w:tplc="CC1E44D6">
      <w:numFmt w:val="decimal"/>
      <w:lvlText w:val=""/>
      <w:lvlJc w:val="left"/>
    </w:lvl>
    <w:lvl w:ilvl="3" w:tplc="40F2F1B0">
      <w:numFmt w:val="decimal"/>
      <w:lvlText w:val=""/>
      <w:lvlJc w:val="left"/>
    </w:lvl>
    <w:lvl w:ilvl="4" w:tplc="9A788254">
      <w:numFmt w:val="decimal"/>
      <w:lvlText w:val=""/>
      <w:lvlJc w:val="left"/>
    </w:lvl>
    <w:lvl w:ilvl="5" w:tplc="323CB624">
      <w:numFmt w:val="decimal"/>
      <w:lvlText w:val=""/>
      <w:lvlJc w:val="left"/>
    </w:lvl>
    <w:lvl w:ilvl="6" w:tplc="2DDA904C">
      <w:numFmt w:val="decimal"/>
      <w:lvlText w:val=""/>
      <w:lvlJc w:val="left"/>
    </w:lvl>
    <w:lvl w:ilvl="7" w:tplc="5FC80DD8">
      <w:numFmt w:val="decimal"/>
      <w:lvlText w:val=""/>
      <w:lvlJc w:val="left"/>
    </w:lvl>
    <w:lvl w:ilvl="8" w:tplc="5CD8373A">
      <w:numFmt w:val="decimal"/>
      <w:lvlText w:val=""/>
      <w:lvlJc w:val="left"/>
    </w:lvl>
  </w:abstractNum>
  <w:abstractNum w:abstractNumId="4" w15:restartNumberingAfterBreak="0">
    <w:nsid w:val="5F631B22"/>
    <w:multiLevelType w:val="hybridMultilevel"/>
    <w:tmpl w:val="3C667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52413209">
    <w:abstractNumId w:val="2"/>
    <w:lvlOverride w:ilvl="0">
      <w:startOverride w:val="1"/>
    </w:lvlOverride>
  </w:num>
  <w:num w:numId="2" w16cid:durableId="289291546">
    <w:abstractNumId w:val="3"/>
    <w:lvlOverride w:ilvl="0">
      <w:startOverride w:val="1"/>
    </w:lvlOverride>
  </w:num>
  <w:num w:numId="3" w16cid:durableId="1368068270">
    <w:abstractNumId w:val="1"/>
  </w:num>
  <w:num w:numId="4" w16cid:durableId="1149131046">
    <w:abstractNumId w:val="4"/>
  </w:num>
  <w:num w:numId="5" w16cid:durableId="1864511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2A8"/>
    <w:rsid w:val="002722A8"/>
    <w:rsid w:val="006B0C2D"/>
    <w:rsid w:val="006F7589"/>
    <w:rsid w:val="009E14D8"/>
    <w:rsid w:val="00AF7766"/>
    <w:rsid w:val="00E40CEF"/>
    <w:rsid w:val="00F31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E816"/>
  <w15:docId w15:val="{979E9BC6-7F6F-4793-9F31-F80145798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4E78"/>
      <w:sz w:val="28"/>
      <w:szCs w:val="28"/>
    </w:rPr>
  </w:style>
  <w:style w:type="paragraph" w:styleId="Heading2">
    <w:name w:val="heading 2"/>
    <w:uiPriority w:val="9"/>
    <w:unhideWhenUsed/>
    <w:qFormat/>
    <w:pPr>
      <w:spacing w:before="180" w:after="100"/>
      <w:outlineLvl w:val="1"/>
    </w:pPr>
    <w:rPr>
      <w:b/>
      <w:bCs/>
      <w:color w:val="1F4E7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table" w:customStyle="1" w:styleId="6">
    <w:name w:val="6"/>
    <w:basedOn w:val="TableNormal"/>
    <w:rsid w:val="009E14D8"/>
    <w:rPr>
      <w:rFonts w:ascii="Aptos" w:eastAsia="Aptos" w:hAnsi="Aptos" w:cs="Aptos"/>
      <w:lang w:val="en"/>
    </w:rPr>
    <w:tblPr>
      <w:tblStyleRowBandSize w:val="1"/>
      <w:tblStyleColBandSize w:val="1"/>
    </w:tblPr>
  </w:style>
  <w:style w:type="table" w:customStyle="1" w:styleId="1">
    <w:name w:val="1"/>
    <w:basedOn w:val="TableNormal"/>
    <w:rsid w:val="009E14D8"/>
    <w:rPr>
      <w:rFonts w:ascii="Aptos" w:eastAsia="Aptos" w:hAnsi="Aptos" w:cs="Aptos"/>
      <w:lang w:val="en"/>
    </w:rPr>
    <w:tblPr>
      <w:tblStyleRowBandSize w:val="1"/>
      <w:tblStyleColBandSize w:val="1"/>
    </w:tblPr>
  </w:style>
  <w:style w:type="table" w:customStyle="1" w:styleId="11">
    <w:name w:val="11"/>
    <w:basedOn w:val="TableNormal"/>
    <w:rsid w:val="00AF7766"/>
    <w:rPr>
      <w:rFonts w:ascii="Aptos" w:eastAsia="Aptos" w:hAnsi="Aptos" w:cs="Aptos"/>
      <w:lang w:val="en"/>
    </w:rPr>
    <w:tblPr>
      <w:tblStyleRowBandSize w:val="1"/>
      <w:tblStyleColBandSize w:val="1"/>
    </w:tblPr>
  </w:style>
  <w:style w:type="table" w:customStyle="1" w:styleId="22">
    <w:name w:val="22"/>
    <w:basedOn w:val="TableNormal"/>
    <w:rsid w:val="00AF7766"/>
    <w:rPr>
      <w:rFonts w:ascii="Aptos" w:eastAsia="Aptos" w:hAnsi="Aptos" w:cs="Aptos"/>
      <w:lang w:val="en"/>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aadac.org/fidelity-to-MI-webinar" TargetMode="External"/><Relationship Id="rId13" Type="http://schemas.openxmlformats.org/officeDocument/2006/relationships/hyperlink" Target="https://www.cdc.gov/overdose-prevention/hcp/trainings/motivational-interviewing.html" TargetMode="External"/><Relationship Id="rId18" Type="http://schemas.openxmlformats.org/officeDocument/2006/relationships/hyperlink" Target="https://www.workforce.buildingcalhhs.com/resource/trauma-informed-peer-suppor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pathlms.com/naadac/courses/44222" TargetMode="External"/><Relationship Id="rId7" Type="http://schemas.openxmlformats.org/officeDocument/2006/relationships/hyperlink" Target="https://www.naadac.org/finding-ambivalence-MI-webinar" TargetMode="External"/><Relationship Id="rId12" Type="http://schemas.openxmlformats.org/officeDocument/2006/relationships/hyperlink" Target="https://library.samhsa.gov/sites/default/files/PEP20-02-02-014.pdf" TargetMode="External"/><Relationship Id="rId17" Type="http://schemas.openxmlformats.org/officeDocument/2006/relationships/hyperlink" Target="https://www.youtube.com/watch?v=WYgL5A-rrIY" TargetMode="External"/><Relationship Id="rId25" Type="http://schemas.openxmlformats.org/officeDocument/2006/relationships/hyperlink" Target="https://www.marchofdimes.org/our-work/beyond-labels" TargetMode="External"/><Relationship Id="rId2" Type="http://schemas.openxmlformats.org/officeDocument/2006/relationships/styles" Target="styles.xml"/><Relationship Id="rId16" Type="http://schemas.openxmlformats.org/officeDocument/2006/relationships/hyperlink" Target="https://www.ourmental.health/postpartum-depression/global-insights-cultural-expectations-and-postpartum-mental-health" TargetMode="External"/><Relationship Id="rId20" Type="http://schemas.openxmlformats.org/officeDocument/2006/relationships/hyperlink" Target="https://www.naadac.org/trauma-relapse-prevention-webinar" TargetMode="External"/><Relationship Id="rId1" Type="http://schemas.openxmlformats.org/officeDocument/2006/relationships/numbering" Target="numbering.xml"/><Relationship Id="rId6" Type="http://schemas.openxmlformats.org/officeDocument/2006/relationships/hyperlink" Target="https://adai.washington.edu/retentiontoolkit/interviewing.htm" TargetMode="External"/><Relationship Id="rId11" Type="http://schemas.openxmlformats.org/officeDocument/2006/relationships/hyperlink" Target="https://www.workforce.buildingcalhhs.com/wp-content/uploads/2023/09/2023_07_24_-FINAL-508_AHP_Motivational-Interviewing-Expanded.pdf" TargetMode="External"/><Relationship Id="rId24" Type="http://schemas.openxmlformats.org/officeDocument/2006/relationships/hyperlink" Target="https://nida.nih.gov/nidamed-medical-health-professionals/health-professions-education/words-matter-language-showing-compassion-care-women-infants-families-communities-impacted-substance-use-disorder" TargetMode="External"/><Relationship Id="rId5" Type="http://schemas.openxmlformats.org/officeDocument/2006/relationships/hyperlink" Target="https://www.workforce.buildingcalhhs.com/wp-content/uploads/2023/09/2023_07_24_-FINAL-508_AHP_Motivational-Interviewing-Expanded.pdf" TargetMode="External"/><Relationship Id="rId15" Type="http://schemas.openxmlformats.org/officeDocument/2006/relationships/hyperlink" Target="https://postpartum.net/training/culturally-informed-approaches/" TargetMode="External"/><Relationship Id="rId23" Type="http://schemas.openxmlformats.org/officeDocument/2006/relationships/hyperlink" Target="https://media.wcwpds.wisc.edu/PDSA/2024-PDSA/5-Disrupting%20Stigma%20Brief.pdf" TargetMode="External"/><Relationship Id="rId10" Type="http://schemas.openxmlformats.org/officeDocument/2006/relationships/hyperlink" Target="https://nida.nih.gov/nidamed-medical-health-professionals/ctn-dissemination-initiative/blending-initiative-motivational-interviewing-cmece-patient-simulation/talking-patients-about-health-risk-behaviors-module" TargetMode="External"/><Relationship Id="rId19" Type="http://schemas.openxmlformats.org/officeDocument/2006/relationships/hyperlink" Target="https://portal.ct.gov/-/media/DMHAS/Trauma/EngagingWomenpdf.pdf" TargetMode="External"/><Relationship Id="rId4" Type="http://schemas.openxmlformats.org/officeDocument/2006/relationships/webSettings" Target="webSettings.xml"/><Relationship Id="rId9" Type="http://schemas.openxmlformats.org/officeDocument/2006/relationships/hyperlink" Target="https://www.naadac.org/motivational-interviewing-with-criminal-justice-populations" TargetMode="External"/><Relationship Id="rId14" Type="http://schemas.openxmlformats.org/officeDocument/2006/relationships/hyperlink" Target="https://attcnetwork.org/wp-content/uploads/2020/11/Peer-Primer-FINAL.pdf" TargetMode="External"/><Relationship Id="rId22" Type="http://schemas.openxmlformats.org/officeDocument/2006/relationships/hyperlink" Target="https://attcnetwork.org/products_and_resources/the-stigma-is-real-pregnant-and-parenting-women-with-substance-use-disorder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Oak Ridge Associated Universities</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Smither, Betsy</cp:lastModifiedBy>
  <cp:revision>3</cp:revision>
  <dcterms:created xsi:type="dcterms:W3CDTF">2025-11-25T19:02:00Z</dcterms:created>
  <dcterms:modified xsi:type="dcterms:W3CDTF">2025-12-09T14:47:00Z</dcterms:modified>
</cp:coreProperties>
</file>