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BEFC" w14:textId="1CC5830A" w:rsidR="00581E01" w:rsidRDefault="007F199D" w:rsidP="00584BD7">
      <w:pPr>
        <w:pStyle w:val="Heading1"/>
        <w:spacing w:before="0"/>
      </w:pPr>
      <w:r>
        <w:t>Handout 2.3.</w:t>
      </w:r>
      <w:r w:rsidR="00584BD7">
        <w:t>2</w:t>
      </w:r>
      <w:r w:rsidR="00581E01">
        <w:t xml:space="preserve">: </w:t>
      </w:r>
      <w:r w:rsidR="00584BD7">
        <w:t>C</w:t>
      </w:r>
      <w:r w:rsidR="00584BD7" w:rsidRPr="00584BD7">
        <w:t xml:space="preserve">ommon </w:t>
      </w:r>
      <w:r w:rsidR="00584BD7">
        <w:t>R</w:t>
      </w:r>
      <w:r w:rsidR="00584BD7" w:rsidRPr="00584BD7">
        <w:t xml:space="preserve">oles </w:t>
      </w:r>
      <w:r w:rsidR="00584BD7">
        <w:t>I</w:t>
      </w:r>
      <w:r w:rsidR="00584BD7" w:rsidRPr="00584BD7">
        <w:t xml:space="preserve">nvolved in a </w:t>
      </w:r>
      <w:r w:rsidR="00584BD7">
        <w:t>C</w:t>
      </w:r>
      <w:r w:rsidR="00584BD7" w:rsidRPr="00584BD7">
        <w:t xml:space="preserve">hild </w:t>
      </w:r>
      <w:r w:rsidR="00584BD7">
        <w:t>W</w:t>
      </w:r>
      <w:r w:rsidR="00584BD7" w:rsidRPr="00584BD7">
        <w:t xml:space="preserve">elfare </w:t>
      </w:r>
      <w:r w:rsidR="00584BD7">
        <w:t>C</w:t>
      </w:r>
      <w:r w:rsidR="00584BD7" w:rsidRPr="00584BD7">
        <w:t>ase</w:t>
      </w:r>
    </w:p>
    <w:p w14:paraId="3D495701" w14:textId="77777777" w:rsidR="00584BD7" w:rsidRPr="00584BD7" w:rsidRDefault="00584BD7" w:rsidP="00584BD7"/>
    <w:tbl>
      <w:tblPr>
        <w:tblStyle w:val="TableGrid"/>
        <w:tblW w:w="5000" w:type="pct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001"/>
        <w:gridCol w:w="6349"/>
      </w:tblGrid>
      <w:tr w:rsidR="00584BD7" w:rsidRPr="00D8242C" w14:paraId="10EBF5A0" w14:textId="77777777" w:rsidTr="00343816">
        <w:trPr>
          <w:trHeight w:val="629"/>
        </w:trPr>
        <w:tc>
          <w:tcPr>
            <w:tcW w:w="1605" w:type="pct"/>
            <w:vAlign w:val="center"/>
            <w:hideMark/>
          </w:tcPr>
          <w:p w14:paraId="31DBB725" w14:textId="77777777" w:rsidR="00584BD7" w:rsidRPr="00700301" w:rsidRDefault="00584BD7" w:rsidP="0034381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3395" w:type="pct"/>
            <w:vAlign w:val="center"/>
            <w:hideMark/>
          </w:tcPr>
          <w:p w14:paraId="550DE3E0" w14:textId="6E7D00D3" w:rsidR="00584BD7" w:rsidRPr="00700301" w:rsidRDefault="00584BD7" w:rsidP="0034381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 xml:space="preserve">Role in </w:t>
            </w:r>
            <w:r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Child Welfare</w:t>
            </w:r>
          </w:p>
        </w:tc>
      </w:tr>
      <w:tr w:rsidR="00584BD7" w:rsidRPr="00D8242C" w14:paraId="510DC331" w14:textId="77777777" w:rsidTr="00343816">
        <w:tc>
          <w:tcPr>
            <w:tcW w:w="1605" w:type="pct"/>
            <w:vAlign w:val="center"/>
            <w:hideMark/>
          </w:tcPr>
          <w:p w14:paraId="473AA828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Child Protective Services Investigator</w:t>
            </w:r>
          </w:p>
        </w:tc>
        <w:tc>
          <w:tcPr>
            <w:tcW w:w="3395" w:type="pct"/>
            <w:hideMark/>
          </w:tcPr>
          <w:p w14:paraId="3051E6BE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State or local government employees tasked with investigating reports of child neglect or abuse. Typically, only involved during the investigation and making initial recommendations about next steps. </w:t>
            </w:r>
          </w:p>
        </w:tc>
      </w:tr>
      <w:tr w:rsidR="00584BD7" w:rsidRPr="00D8242C" w14:paraId="5B3A379F" w14:textId="77777777" w:rsidTr="00343816">
        <w:tc>
          <w:tcPr>
            <w:tcW w:w="1605" w:type="pct"/>
            <w:vAlign w:val="center"/>
          </w:tcPr>
          <w:p w14:paraId="1806032C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 xml:space="preserve">State/County Child Welfare </w:t>
            </w:r>
            <w:r>
              <w:rPr>
                <w:b/>
                <w:bCs/>
              </w:rPr>
              <w:t>Worker</w:t>
            </w:r>
          </w:p>
        </w:tc>
        <w:tc>
          <w:tcPr>
            <w:tcW w:w="3395" w:type="pct"/>
          </w:tcPr>
          <w:p w14:paraId="39B476B1" w14:textId="77777777" w:rsidR="00584BD7" w:rsidRPr="0008347D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State or local government employees tasked with ongoing case management and oversight. They assess needs, write </w:t>
            </w:r>
            <w:r>
              <w:t xml:space="preserve">case </w:t>
            </w:r>
            <w:r w:rsidRPr="00E26B6E">
              <w:t xml:space="preserve">plans, connect families with services/supports, regularly visit </w:t>
            </w:r>
            <w:r>
              <w:t>children</w:t>
            </w:r>
            <w:r w:rsidRPr="00E26B6E">
              <w:t xml:space="preserve"> in foster care, report on their well</w:t>
            </w:r>
            <w:r>
              <w:t>-</w:t>
            </w:r>
            <w:r w:rsidRPr="00E26B6E">
              <w:t xml:space="preserve">being, and supervise </w:t>
            </w:r>
            <w:r>
              <w:t>family time (e.g., visitation)</w:t>
            </w:r>
            <w:r w:rsidRPr="00E26B6E">
              <w:t xml:space="preserve">. </w:t>
            </w:r>
          </w:p>
        </w:tc>
      </w:tr>
      <w:tr w:rsidR="00584BD7" w:rsidRPr="00D8242C" w14:paraId="679950A9" w14:textId="77777777" w:rsidTr="00343816">
        <w:tc>
          <w:tcPr>
            <w:tcW w:w="1605" w:type="pct"/>
            <w:vAlign w:val="center"/>
          </w:tcPr>
          <w:p w14:paraId="6374A800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Private Foster Care Agency</w:t>
            </w:r>
            <w:r>
              <w:rPr>
                <w:b/>
                <w:bCs/>
              </w:rPr>
              <w:t xml:space="preserve"> Child Welfare Worker</w:t>
            </w:r>
          </w:p>
        </w:tc>
        <w:tc>
          <w:tcPr>
            <w:tcW w:w="3395" w:type="pct"/>
          </w:tcPr>
          <w:p w14:paraId="0D5DEEA8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Works directly for a private agency that has been contracted by </w:t>
            </w:r>
            <w:r>
              <w:t xml:space="preserve">the </w:t>
            </w:r>
            <w:r w:rsidRPr="00E26B6E">
              <w:t xml:space="preserve">state/local government. Duties may overlap with those of state/county </w:t>
            </w:r>
            <w:r>
              <w:t xml:space="preserve">child welfare </w:t>
            </w:r>
            <w:r w:rsidRPr="00E26B6E">
              <w:t xml:space="preserve">workers, though the state/county agency remains ultimately responsible for the case and well-being of the child. </w:t>
            </w:r>
          </w:p>
        </w:tc>
      </w:tr>
      <w:tr w:rsidR="00584BD7" w:rsidRPr="00D8242C" w14:paraId="0BA70C67" w14:textId="77777777" w:rsidTr="00343816">
        <w:tc>
          <w:tcPr>
            <w:tcW w:w="1605" w:type="pct"/>
            <w:vAlign w:val="center"/>
            <w:hideMark/>
          </w:tcPr>
          <w:p w14:paraId="7FB854FB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 xml:space="preserve">Kinship </w:t>
            </w:r>
            <w:r>
              <w:rPr>
                <w:b/>
                <w:bCs/>
              </w:rPr>
              <w:t>Caregiver</w:t>
            </w:r>
          </w:p>
        </w:tc>
        <w:tc>
          <w:tcPr>
            <w:tcW w:w="3395" w:type="pct"/>
            <w:hideMark/>
          </w:tcPr>
          <w:p w14:paraId="5DA12F79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t>An a</w:t>
            </w:r>
            <w:r w:rsidRPr="00E26B6E">
              <w:t xml:space="preserve">dult </w:t>
            </w:r>
            <w:r>
              <w:t>with</w:t>
            </w:r>
            <w:r w:rsidRPr="00E26B6E">
              <w:t xml:space="preserve"> an existing relationship with a child coming into the system (e.g., relative, neighbor, family friend) who wants to care for the child and </w:t>
            </w:r>
            <w:r>
              <w:t>can</w:t>
            </w:r>
            <w:r w:rsidRPr="00E26B6E">
              <w:t xml:space="preserve"> meet the child welfare agency’s standards and criteria for placement of the child. </w:t>
            </w:r>
            <w:r>
              <w:t>In many states, r</w:t>
            </w:r>
            <w:r w:rsidRPr="00E26B6E">
              <w:t xml:space="preserve">esponsibilities and requirements are </w:t>
            </w:r>
            <w:r>
              <w:t>similar</w:t>
            </w:r>
            <w:r w:rsidRPr="00E26B6E">
              <w:t xml:space="preserve"> for other types of foster parents. (This option is preferred</w:t>
            </w:r>
            <w:r>
              <w:t>.</w:t>
            </w:r>
            <w:r w:rsidRPr="00E26B6E">
              <w:t>)</w:t>
            </w:r>
          </w:p>
        </w:tc>
      </w:tr>
      <w:tr w:rsidR="00584BD7" w:rsidRPr="00D8242C" w14:paraId="6C99DF18" w14:textId="77777777" w:rsidTr="00343816">
        <w:tc>
          <w:tcPr>
            <w:tcW w:w="1605" w:type="pct"/>
            <w:vAlign w:val="center"/>
            <w:hideMark/>
          </w:tcPr>
          <w:p w14:paraId="22937DEC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 xml:space="preserve">Foster Parent (sometimes called </w:t>
            </w:r>
            <w:r>
              <w:rPr>
                <w:b/>
                <w:bCs/>
              </w:rPr>
              <w:t>“</w:t>
            </w:r>
            <w:r w:rsidRPr="008D6B6F">
              <w:rPr>
                <w:b/>
                <w:bCs/>
              </w:rPr>
              <w:t>resource parent</w:t>
            </w:r>
            <w:r>
              <w:rPr>
                <w:b/>
                <w:bCs/>
              </w:rPr>
              <w:t>”</w:t>
            </w:r>
            <w:r w:rsidRPr="008D6B6F">
              <w:rPr>
                <w:b/>
                <w:bCs/>
              </w:rPr>
              <w:t>)</w:t>
            </w:r>
          </w:p>
        </w:tc>
        <w:tc>
          <w:tcPr>
            <w:tcW w:w="3395" w:type="pct"/>
            <w:hideMark/>
          </w:tcPr>
          <w:p w14:paraId="0F528A8C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t>An a</w:t>
            </w:r>
            <w:r w:rsidRPr="00E26B6E">
              <w:t xml:space="preserve">dult who has </w:t>
            </w:r>
            <w:r>
              <w:t>met</w:t>
            </w:r>
            <w:r w:rsidRPr="00E26B6E">
              <w:t xml:space="preserve"> the training, background check, and safety requirements to be approved by the child welfare system to care for kids in state custody in their home. </w:t>
            </w:r>
          </w:p>
        </w:tc>
      </w:tr>
      <w:tr w:rsidR="00584BD7" w:rsidRPr="00D8242C" w14:paraId="68901518" w14:textId="77777777" w:rsidTr="00343816">
        <w:tc>
          <w:tcPr>
            <w:tcW w:w="1605" w:type="pct"/>
            <w:vAlign w:val="center"/>
            <w:hideMark/>
          </w:tcPr>
          <w:p w14:paraId="66108B6F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Dependency Court Judge/Family Court Judge</w:t>
            </w:r>
          </w:p>
        </w:tc>
        <w:tc>
          <w:tcPr>
            <w:tcW w:w="3395" w:type="pct"/>
            <w:hideMark/>
          </w:tcPr>
          <w:p w14:paraId="23C21AEF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>Hear cases of abuse, neglect, or abandonment of children; juries are not involved. Makes decisions about a child’s placement and parental rights based on information presented by those involved in the case.</w:t>
            </w:r>
          </w:p>
        </w:tc>
      </w:tr>
      <w:tr w:rsidR="00584BD7" w:rsidRPr="00D8242C" w14:paraId="4264F671" w14:textId="77777777" w:rsidTr="00343816">
        <w:tc>
          <w:tcPr>
            <w:tcW w:w="1605" w:type="pct"/>
            <w:vAlign w:val="center"/>
            <w:hideMark/>
          </w:tcPr>
          <w:p w14:paraId="7A86247D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Parent’s Attorney(s)</w:t>
            </w:r>
          </w:p>
        </w:tc>
        <w:tc>
          <w:tcPr>
            <w:tcW w:w="3395" w:type="pct"/>
            <w:hideMark/>
          </w:tcPr>
          <w:p w14:paraId="0732C966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>Parents may hire a private attorney or can be appointed a court</w:t>
            </w:r>
            <w:r>
              <w:t>-</w:t>
            </w:r>
            <w:r w:rsidRPr="00E26B6E">
              <w:t xml:space="preserve">provided attorney to represent their views and interests in court proceedings related to the child welfare </w:t>
            </w:r>
            <w:r w:rsidRPr="00E26B6E">
              <w:lastRenderedPageBreak/>
              <w:t>case. (Each parent typically has their own separate attorney</w:t>
            </w:r>
            <w:r>
              <w:t>.</w:t>
            </w:r>
            <w:r w:rsidRPr="00E26B6E">
              <w:t xml:space="preserve">) </w:t>
            </w:r>
          </w:p>
        </w:tc>
      </w:tr>
      <w:tr w:rsidR="00584BD7" w:rsidRPr="00D8242C" w14:paraId="4652253F" w14:textId="77777777" w:rsidTr="00343816">
        <w:tc>
          <w:tcPr>
            <w:tcW w:w="1605" w:type="pct"/>
            <w:vAlign w:val="center"/>
            <w:hideMark/>
          </w:tcPr>
          <w:p w14:paraId="364F2338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lastRenderedPageBreak/>
              <w:t>State Child Welfare Agency’s Attorney</w:t>
            </w:r>
          </w:p>
        </w:tc>
        <w:tc>
          <w:tcPr>
            <w:tcW w:w="3395" w:type="pct"/>
            <w:hideMark/>
          </w:tcPr>
          <w:p w14:paraId="1506F0D7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Attorneys who represent the viewpoint of the </w:t>
            </w:r>
            <w:r>
              <w:t xml:space="preserve">public </w:t>
            </w:r>
            <w:r w:rsidRPr="00E26B6E">
              <w:t xml:space="preserve">child welfare agency during court proceedings. </w:t>
            </w:r>
          </w:p>
        </w:tc>
      </w:tr>
      <w:tr w:rsidR="00584BD7" w:rsidRPr="00D8242C" w14:paraId="3C9797AB" w14:textId="77777777" w:rsidTr="00343816">
        <w:tc>
          <w:tcPr>
            <w:tcW w:w="1605" w:type="pct"/>
            <w:vAlign w:val="center"/>
            <w:hideMark/>
          </w:tcPr>
          <w:p w14:paraId="586BC41E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Child Advocate Attorney</w:t>
            </w:r>
          </w:p>
        </w:tc>
        <w:tc>
          <w:tcPr>
            <w:tcW w:w="3395" w:type="pct"/>
            <w:hideMark/>
          </w:tcPr>
          <w:p w14:paraId="394F91C2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Attorneys appointed by the court to protect the rights of children involved in child welfare cases. </w:t>
            </w:r>
          </w:p>
        </w:tc>
      </w:tr>
      <w:tr w:rsidR="00584BD7" w:rsidRPr="00D8242C" w14:paraId="561E9DB8" w14:textId="77777777" w:rsidTr="00343816">
        <w:tc>
          <w:tcPr>
            <w:tcW w:w="1605" w:type="pct"/>
            <w:vAlign w:val="center"/>
            <w:hideMark/>
          </w:tcPr>
          <w:p w14:paraId="1EA24CF2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 xml:space="preserve">Guardian </w:t>
            </w:r>
            <w:proofErr w:type="gramStart"/>
            <w:r w:rsidRPr="008D6B6F">
              <w:rPr>
                <w:b/>
                <w:bCs/>
              </w:rPr>
              <w:t>ad</w:t>
            </w:r>
            <w:proofErr w:type="gramEnd"/>
            <w:r w:rsidRPr="008D6B6F">
              <w:rPr>
                <w:b/>
                <w:bCs/>
              </w:rPr>
              <w:t xml:space="preserve"> Litem (GAL)</w:t>
            </w:r>
          </w:p>
        </w:tc>
        <w:tc>
          <w:tcPr>
            <w:tcW w:w="3395" w:type="pct"/>
            <w:hideMark/>
          </w:tcPr>
          <w:p w14:paraId="536EA0E0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>In some states, GALs are the same as a child advocate attorney. In other states</w:t>
            </w:r>
            <w:r>
              <w:t>,</w:t>
            </w:r>
            <w:r w:rsidRPr="00E26B6E">
              <w:t xml:space="preserve"> they do not have to be an attorney and are an additional, independent adult appointed by the court to solely represent the interests of the child. Depending on the state, a child who has an advocate attorney might not also have a GAL. </w:t>
            </w:r>
          </w:p>
        </w:tc>
      </w:tr>
      <w:tr w:rsidR="00584BD7" w:rsidRPr="00D8242C" w14:paraId="627F4DC2" w14:textId="77777777" w:rsidTr="00343816">
        <w:tc>
          <w:tcPr>
            <w:tcW w:w="1605" w:type="pct"/>
            <w:vAlign w:val="center"/>
            <w:hideMark/>
          </w:tcPr>
          <w:p w14:paraId="6F958EB5" w14:textId="77777777" w:rsidR="00584BD7" w:rsidRPr="008D6B6F" w:rsidRDefault="00584BD7" w:rsidP="0034381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D6B6F">
              <w:rPr>
                <w:b/>
                <w:bCs/>
              </w:rPr>
              <w:t>Court-</w:t>
            </w:r>
            <w:r>
              <w:rPr>
                <w:b/>
                <w:bCs/>
              </w:rPr>
              <w:t>A</w:t>
            </w:r>
            <w:r w:rsidRPr="008D6B6F">
              <w:rPr>
                <w:b/>
                <w:bCs/>
              </w:rPr>
              <w:t>ppointed Special Advocate (CASA)</w:t>
            </w:r>
          </w:p>
        </w:tc>
        <w:tc>
          <w:tcPr>
            <w:tcW w:w="3395" w:type="pct"/>
            <w:hideMark/>
          </w:tcPr>
          <w:p w14:paraId="5790A10D" w14:textId="77777777" w:rsidR="00584BD7" w:rsidRPr="00D8242C" w:rsidRDefault="00584BD7" w:rsidP="0034381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26B6E">
              <w:t xml:space="preserve">Community volunteers who have been trained and appointed by the </w:t>
            </w:r>
            <w:proofErr w:type="gramStart"/>
            <w:r w:rsidRPr="00E26B6E">
              <w:t>court to</w:t>
            </w:r>
            <w:proofErr w:type="gramEnd"/>
            <w:r w:rsidRPr="00E26B6E">
              <w:t xml:space="preserve"> represent the best interests of the child </w:t>
            </w:r>
            <w:r>
              <w:t xml:space="preserve">while the family is involved with the child welfare agency. </w:t>
            </w:r>
            <w:r w:rsidRPr="00E26B6E">
              <w:t>(Not every child in care will have a CASA)</w:t>
            </w:r>
          </w:p>
        </w:tc>
      </w:tr>
    </w:tbl>
    <w:p w14:paraId="3328A83B" w14:textId="77777777" w:rsidR="00584BD7" w:rsidRDefault="00584BD7" w:rsidP="00584BD7"/>
    <w:p w14:paraId="6F966925" w14:textId="273331E7" w:rsidR="00D67810" w:rsidRPr="00584BD7" w:rsidRDefault="00D67810" w:rsidP="00584BD7">
      <w:r>
        <w:t xml:space="preserve">Source: </w:t>
      </w:r>
      <w:r w:rsidRPr="00635103">
        <w:t xml:space="preserve">Children's Hospital of Philadelphia. Healthcare toolbox. Accessed Sep 11, 2025. </w:t>
      </w:r>
      <w:hyperlink r:id="rId7" w:history="1">
        <w:r w:rsidRPr="00635103">
          <w:rPr>
            <w:rStyle w:val="Hyperlink"/>
          </w:rPr>
          <w:t>https://www.healthcaretoolbox.org/who-s-w</w:t>
        </w:r>
        <w:r w:rsidRPr="00635103">
          <w:rPr>
            <w:rStyle w:val="Hyperlink"/>
          </w:rPr>
          <w:t>h</w:t>
        </w:r>
        <w:r w:rsidRPr="00635103">
          <w:rPr>
            <w:rStyle w:val="Hyperlink"/>
          </w:rPr>
          <w:t>o-in-the-child-welfare-system</w:t>
        </w:r>
      </w:hyperlink>
    </w:p>
    <w:sectPr w:rsidR="00D67810" w:rsidRPr="00584B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C702" w14:textId="77777777" w:rsidR="003B3202" w:rsidRDefault="003B3202" w:rsidP="00186987">
      <w:pPr>
        <w:spacing w:after="0" w:line="240" w:lineRule="auto"/>
      </w:pPr>
      <w:r>
        <w:separator/>
      </w:r>
    </w:p>
  </w:endnote>
  <w:endnote w:type="continuationSeparator" w:id="0">
    <w:p w14:paraId="333E985F" w14:textId="77777777" w:rsidR="003B3202" w:rsidRDefault="003B3202" w:rsidP="0018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80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76CC8" w14:textId="2660A229" w:rsidR="00186987" w:rsidRDefault="00186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220EC" w14:textId="77777777" w:rsidR="00186987" w:rsidRDefault="00186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FE5" w14:textId="77777777" w:rsidR="003B3202" w:rsidRDefault="003B3202" w:rsidP="00186987">
      <w:pPr>
        <w:spacing w:after="0" w:line="240" w:lineRule="auto"/>
      </w:pPr>
      <w:r>
        <w:separator/>
      </w:r>
    </w:p>
  </w:footnote>
  <w:footnote w:type="continuationSeparator" w:id="0">
    <w:p w14:paraId="7620616E" w14:textId="77777777" w:rsidR="003B3202" w:rsidRDefault="003B3202" w:rsidP="0018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7E"/>
    <w:multiLevelType w:val="hybridMultilevel"/>
    <w:tmpl w:val="C62C0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973C5"/>
    <w:multiLevelType w:val="hybridMultilevel"/>
    <w:tmpl w:val="5B1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71"/>
    <w:multiLevelType w:val="hybridMultilevel"/>
    <w:tmpl w:val="1E46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53EF6"/>
    <w:multiLevelType w:val="hybridMultilevel"/>
    <w:tmpl w:val="403E0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6F25A4"/>
    <w:multiLevelType w:val="multilevel"/>
    <w:tmpl w:val="8DA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0095">
    <w:abstractNumId w:val="2"/>
  </w:num>
  <w:num w:numId="2" w16cid:durableId="588199082">
    <w:abstractNumId w:val="0"/>
  </w:num>
  <w:num w:numId="3" w16cid:durableId="654182096">
    <w:abstractNumId w:val="1"/>
  </w:num>
  <w:num w:numId="4" w16cid:durableId="693044064">
    <w:abstractNumId w:val="4"/>
  </w:num>
  <w:num w:numId="5" w16cid:durableId="1687902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01"/>
    <w:rsid w:val="00186987"/>
    <w:rsid w:val="00240D2B"/>
    <w:rsid w:val="003B3202"/>
    <w:rsid w:val="00581E01"/>
    <w:rsid w:val="00584BD7"/>
    <w:rsid w:val="005D184F"/>
    <w:rsid w:val="007F199D"/>
    <w:rsid w:val="00924A80"/>
    <w:rsid w:val="00A45669"/>
    <w:rsid w:val="00D67810"/>
    <w:rsid w:val="00DB3BCA"/>
    <w:rsid w:val="00E964FA"/>
    <w:rsid w:val="00E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DA6A"/>
  <w15:chartTrackingRefBased/>
  <w15:docId w15:val="{B6768707-EE32-4790-B55E-12317CF9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01"/>
  </w:style>
  <w:style w:type="paragraph" w:styleId="Heading1">
    <w:name w:val="heading 1"/>
    <w:basedOn w:val="Normal"/>
    <w:next w:val="Normal"/>
    <w:link w:val="Heading1Char"/>
    <w:uiPriority w:val="9"/>
    <w:qFormat/>
    <w:rsid w:val="0058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E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E0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1E01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581E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81E0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86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9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87"/>
  </w:style>
  <w:style w:type="paragraph" w:styleId="Footer">
    <w:name w:val="footer"/>
    <w:basedOn w:val="Normal"/>
    <w:link w:val="FooterChar"/>
    <w:uiPriority w:val="99"/>
    <w:unhideWhenUsed/>
    <w:rsid w:val="0018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87"/>
  </w:style>
  <w:style w:type="table" w:styleId="TableGrid">
    <w:name w:val="Table Grid"/>
    <w:basedOn w:val="TableNormal"/>
    <w:uiPriority w:val="39"/>
    <w:rsid w:val="0058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678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ealthcaretoolbox.org/who-s-who-in-the-child-welfare-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2732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Smither, Betsy</dc:creator>
  <cp:keywords/>
  <dc:description/>
  <cp:lastModifiedBy>Brown, Laurel</cp:lastModifiedBy>
  <cp:revision>7</cp:revision>
  <dcterms:created xsi:type="dcterms:W3CDTF">2025-11-03T18:09:00Z</dcterms:created>
  <dcterms:modified xsi:type="dcterms:W3CDTF">2026-02-23T13:43:00Z</dcterms:modified>
</cp:coreProperties>
</file>